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680"/>
        <w:gridCol w:w="4680"/>
      </w:tblGrid>
      <w:tr w:rsidR="00A86884" w14:paraId="7ED99F16" w14:textId="77777777">
        <w:trPr>
          <w:jc w:val="center"/>
        </w:trPr>
        <w:tc>
          <w:tcPr>
            <w:tcW w:w="4680" w:type="dxa"/>
          </w:tcPr>
          <w:p w14:paraId="513AB1C5" w14:textId="77777777" w:rsidR="00A86884" w:rsidRDefault="00000000">
            <w:pPr>
              <w:spacing w:after="0" w:line="240" w:lineRule="auto"/>
            </w:pPr>
            <w:r>
              <w:t>STATE OF MINNESOTA</w:t>
            </w:r>
          </w:p>
          <w:p w14:paraId="53C2B133" w14:textId="77777777" w:rsidR="00A86884" w:rsidRDefault="00000000">
            <w:pPr>
              <w:spacing w:after="0" w:line="240" w:lineRule="auto"/>
            </w:pPr>
            <w:r>
              <w:t>COUNTY OF HENNEPIN</w:t>
            </w:r>
          </w:p>
        </w:tc>
        <w:tc>
          <w:tcPr>
            <w:tcW w:w="4680" w:type="dxa"/>
          </w:tcPr>
          <w:p w14:paraId="6F14DB2C" w14:textId="77777777" w:rsidR="00A86884" w:rsidRDefault="00000000">
            <w:pPr>
              <w:spacing w:after="0" w:line="240" w:lineRule="auto"/>
            </w:pPr>
            <w:r>
              <w:t>DISTRICT COURT</w:t>
            </w:r>
          </w:p>
          <w:p w14:paraId="0E292B89" w14:textId="77777777" w:rsidR="00A86884" w:rsidRDefault="00000000">
            <w:pPr>
              <w:spacing w:after="0" w:line="240" w:lineRule="auto"/>
            </w:pPr>
            <w:r>
              <w:t>FOURTH JUDICIAL DISTRICT</w:t>
            </w:r>
          </w:p>
          <w:p w14:paraId="5C77E6AF" w14:textId="77777777" w:rsidR="00A86884" w:rsidRDefault="00000000">
            <w:pPr>
              <w:spacing w:after="0" w:line="240" w:lineRule="auto"/>
            </w:pPr>
            <w:r>
              <w:t>Case Type: Civil — Other</w:t>
            </w:r>
          </w:p>
        </w:tc>
      </w:tr>
      <w:tr w:rsidR="00A86884" w14:paraId="5400FFA6" w14:textId="77777777">
        <w:trPr>
          <w:jc w:val="center"/>
        </w:trPr>
        <w:tc>
          <w:tcPr>
            <w:tcW w:w="4680" w:type="dxa"/>
          </w:tcPr>
          <w:p w14:paraId="7DB9152F" w14:textId="77777777" w:rsidR="00A86884" w:rsidRDefault="00000000">
            <w:pPr>
              <w:spacing w:after="0" w:line="240" w:lineRule="auto"/>
            </w:pPr>
            <w:r>
              <w:t>Yibiao Lu and Jie Hu,</w:t>
            </w:r>
          </w:p>
          <w:p w14:paraId="406EB891" w14:textId="77777777" w:rsidR="00A86884" w:rsidRDefault="00A86884">
            <w:pPr>
              <w:spacing w:after="0" w:line="240" w:lineRule="auto"/>
            </w:pPr>
          </w:p>
          <w:p w14:paraId="72AB5C54" w14:textId="77777777" w:rsidR="00A86884" w:rsidRDefault="00000000">
            <w:pPr>
              <w:spacing w:after="0" w:line="240" w:lineRule="auto"/>
            </w:pPr>
            <w:r>
              <w:t xml:space="preserve">                        Plaintiffs,</w:t>
            </w:r>
          </w:p>
          <w:p w14:paraId="3301F18F" w14:textId="77777777" w:rsidR="00A86884" w:rsidRDefault="00000000">
            <w:pPr>
              <w:spacing w:after="0" w:line="240" w:lineRule="auto"/>
            </w:pPr>
            <w:r>
              <w:t>v.</w:t>
            </w:r>
          </w:p>
          <w:p w14:paraId="6C9CDC21" w14:textId="77777777" w:rsidR="00A86884" w:rsidRDefault="00A86884">
            <w:pPr>
              <w:spacing w:after="0" w:line="240" w:lineRule="auto"/>
            </w:pPr>
          </w:p>
          <w:p w14:paraId="58B5CE61" w14:textId="77777777" w:rsidR="00A86884" w:rsidRDefault="00000000">
            <w:pPr>
              <w:spacing w:after="0" w:line="240" w:lineRule="auto"/>
            </w:pPr>
            <w:r>
              <w:t>Fire Insurance Exchange, by and through its attorney-in-fact, Fire Underwriters Association (d/b/a Farmers Insurance),</w:t>
            </w:r>
          </w:p>
          <w:p w14:paraId="51BB4AC2" w14:textId="77777777" w:rsidR="00A86884" w:rsidRDefault="00A86884">
            <w:pPr>
              <w:spacing w:after="0" w:line="240" w:lineRule="auto"/>
            </w:pPr>
          </w:p>
          <w:p w14:paraId="192FE76B" w14:textId="77777777" w:rsidR="00A86884" w:rsidRDefault="00000000">
            <w:pPr>
              <w:spacing w:after="0" w:line="240" w:lineRule="auto"/>
            </w:pPr>
            <w:r>
              <w:t xml:space="preserve">                        Defendant.</w:t>
            </w:r>
          </w:p>
        </w:tc>
        <w:tc>
          <w:tcPr>
            <w:tcW w:w="4680" w:type="dxa"/>
          </w:tcPr>
          <w:p w14:paraId="5DCDBFC6" w14:textId="77777777" w:rsidR="00A86884" w:rsidRDefault="00000000">
            <w:pPr>
              <w:spacing w:after="0" w:line="240" w:lineRule="auto"/>
            </w:pPr>
            <w:r>
              <w:t>Court File No. ____________</w:t>
            </w:r>
          </w:p>
          <w:p w14:paraId="3942E8D8" w14:textId="77777777" w:rsidR="00A86884" w:rsidRDefault="00A86884">
            <w:pPr>
              <w:spacing w:after="0" w:line="240" w:lineRule="auto"/>
            </w:pPr>
          </w:p>
          <w:p w14:paraId="56EB7F1C" w14:textId="77777777" w:rsidR="00A86884" w:rsidRDefault="00000000">
            <w:pPr>
              <w:spacing w:after="0" w:line="240" w:lineRule="auto"/>
            </w:pPr>
            <w:r>
              <w:t>COMPLAINT AND</w:t>
            </w:r>
          </w:p>
          <w:p w14:paraId="23782A71" w14:textId="77777777" w:rsidR="00A86884" w:rsidRDefault="00000000">
            <w:pPr>
              <w:spacing w:after="0" w:line="240" w:lineRule="auto"/>
            </w:pPr>
            <w:r>
              <w:t>DEMAND FOR JURY TRIAL</w:t>
            </w:r>
          </w:p>
        </w:tc>
      </w:tr>
    </w:tbl>
    <w:p w14:paraId="455C71E6" w14:textId="77777777" w:rsidR="00A86884" w:rsidRDefault="00A86884">
      <w:pPr>
        <w:pBdr>
          <w:bottom w:val="single" w:sz="6" w:space="1" w:color="000000"/>
        </w:pBdr>
        <w:spacing w:before="40" w:after="120"/>
      </w:pPr>
    </w:p>
    <w:p w14:paraId="068A624B" w14:textId="77777777" w:rsidR="00A86884" w:rsidRDefault="00000000">
      <w:pPr>
        <w:keepNext/>
        <w:spacing w:before="280" w:line="240" w:lineRule="auto"/>
        <w:jc w:val="center"/>
      </w:pPr>
      <w:r>
        <w:rPr>
          <w:b/>
        </w:rPr>
        <w:t>I. INTRODUCTION</w:t>
      </w:r>
    </w:p>
    <w:p w14:paraId="05E993A4" w14:textId="77777777" w:rsidR="00A86884" w:rsidRDefault="00000000">
      <w:pPr>
        <w:tabs>
          <w:tab w:val="left" w:pos="720"/>
        </w:tabs>
        <w:ind w:left="720" w:hanging="720"/>
        <w:jc w:val="both"/>
      </w:pPr>
      <w:r>
        <w:t>1.</w:t>
      </w:r>
      <w:r>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6CD1BD7D" w14:textId="77777777" w:rsidR="00A86884" w:rsidRDefault="00000000">
      <w:pPr>
        <w:tabs>
          <w:tab w:val="left" w:pos="720"/>
        </w:tabs>
        <w:ind w:left="720" w:hanging="720"/>
        <w:jc w:val="both"/>
      </w:pPr>
      <w:r>
        <w:t>2.</w:t>
      </w:r>
      <w:r>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w:t>
      </w:r>
      <w:r>
        <w:lastRenderedPageBreak/>
        <w:t>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55F461E" w14:textId="77777777" w:rsidR="00A86884" w:rsidRDefault="00000000">
      <w:pPr>
        <w:tabs>
          <w:tab w:val="left" w:pos="720"/>
        </w:tabs>
        <w:ind w:left="720" w:hanging="720"/>
        <w:jc w:val="both"/>
      </w:pPr>
      <w:r>
        <w:t>3.</w:t>
      </w:r>
      <w:r>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7311C157" w14:textId="77777777" w:rsidR="00A86884" w:rsidRDefault="00000000">
      <w:pPr>
        <w:keepNext/>
        <w:spacing w:before="280" w:line="240" w:lineRule="auto"/>
        <w:jc w:val="center"/>
      </w:pPr>
      <w:r>
        <w:rPr>
          <w:b/>
        </w:rPr>
        <w:t>II. PARTIES</w:t>
      </w:r>
    </w:p>
    <w:p w14:paraId="0B331BA6" w14:textId="77777777" w:rsidR="00A86884" w:rsidRDefault="00000000">
      <w:pPr>
        <w:tabs>
          <w:tab w:val="left" w:pos="720"/>
        </w:tabs>
        <w:ind w:left="720" w:hanging="720"/>
        <w:jc w:val="both"/>
      </w:pPr>
      <w:r>
        <w:t>4.</w:t>
      </w:r>
      <w:r>
        <w:tab/>
        <w:t>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42B85824" w14:textId="77777777" w:rsidR="00A86884" w:rsidRDefault="00000000">
      <w:pPr>
        <w:tabs>
          <w:tab w:val="left" w:pos="720"/>
        </w:tabs>
        <w:ind w:left="720" w:hanging="720"/>
        <w:jc w:val="both"/>
      </w:pPr>
      <w:r>
        <w:lastRenderedPageBreak/>
        <w:t>5.</w:t>
      </w:r>
      <w:r>
        <w:tab/>
        <w:t>Defendant Fire Insurance Exchange ("Defendant" or "Farmers") is an unincorporated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51A36B1" w14:textId="77777777" w:rsidR="00A86884" w:rsidRDefault="00000000">
      <w:pPr>
        <w:keepNext/>
        <w:spacing w:before="280" w:line="240" w:lineRule="auto"/>
        <w:jc w:val="center"/>
      </w:pPr>
      <w:r>
        <w:rPr>
          <w:b/>
        </w:rPr>
        <w:t>III. JURISDICTION AND VENUE</w:t>
      </w:r>
    </w:p>
    <w:p w14:paraId="49B1076E" w14:textId="77777777" w:rsidR="00A86884" w:rsidRDefault="00000000">
      <w:pPr>
        <w:tabs>
          <w:tab w:val="left" w:pos="720"/>
        </w:tabs>
        <w:ind w:left="720" w:hanging="720"/>
        <w:jc w:val="both"/>
      </w:pPr>
      <w:r>
        <w:t>6.</w:t>
      </w:r>
      <w:r>
        <w:tab/>
        <w:t>This Court has subject-matter jurisdiction under Minn. Stat. § 484.01.</w:t>
      </w:r>
    </w:p>
    <w:p w14:paraId="2776ECB7" w14:textId="77777777" w:rsidR="00A86884" w:rsidRDefault="00000000">
      <w:pPr>
        <w:tabs>
          <w:tab w:val="left" w:pos="720"/>
        </w:tabs>
        <w:ind w:left="720" w:hanging="720"/>
        <w:jc w:val="both"/>
      </w:pPr>
      <w:r>
        <w:t>7.</w:t>
      </w:r>
      <w:r>
        <w:tab/>
        <w:t>This Court has personal jurisdiction over Defendant under Minn. Stat. § 543.19.</w:t>
      </w:r>
    </w:p>
    <w:p w14:paraId="1863F596" w14:textId="77777777" w:rsidR="00A86884" w:rsidRDefault="00000000">
      <w:pPr>
        <w:tabs>
          <w:tab w:val="left" w:pos="720"/>
        </w:tabs>
        <w:ind w:left="720" w:hanging="720"/>
        <w:jc w:val="both"/>
      </w:pPr>
      <w:r>
        <w:t>8.</w:t>
      </w:r>
      <w:r>
        <w:tab/>
        <w:t>Venue is proper in Hennepin County under Minn. Stat. § 542.09 because the cause of action, or some part thereof, arose in Hennepin County, where the insured property is located.</w:t>
      </w:r>
    </w:p>
    <w:p w14:paraId="4DD12B72" w14:textId="77777777" w:rsidR="00A86884" w:rsidRDefault="00000000">
      <w:pPr>
        <w:keepNext/>
        <w:spacing w:before="280" w:line="240" w:lineRule="auto"/>
        <w:jc w:val="center"/>
      </w:pPr>
      <w:r>
        <w:rPr>
          <w:b/>
        </w:rPr>
        <w:t>IV. FACTUAL BACKGROUND</w:t>
      </w:r>
    </w:p>
    <w:p w14:paraId="6C7C97D7" w14:textId="77777777" w:rsidR="00A86884" w:rsidRDefault="00000000">
      <w:pPr>
        <w:keepNext/>
        <w:spacing w:before="240" w:line="240" w:lineRule="auto"/>
      </w:pPr>
      <w:r>
        <w:rPr>
          <w:b/>
          <w:sz w:val="24"/>
        </w:rPr>
        <w:t>A. The Policy</w:t>
      </w:r>
    </w:p>
    <w:p w14:paraId="02DA14BC" w14:textId="77777777" w:rsidR="00A86884" w:rsidRDefault="00000000">
      <w:pPr>
        <w:tabs>
          <w:tab w:val="left" w:pos="720"/>
        </w:tabs>
        <w:ind w:left="720" w:hanging="720"/>
        <w:jc w:val="both"/>
      </w:pPr>
      <w:r>
        <w:t>9.</w:t>
      </w:r>
      <w:r>
        <w:tab/>
        <w:t>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5A2CEB" w14:textId="77777777" w:rsidR="00A86884" w:rsidRDefault="00000000">
      <w:pPr>
        <w:tabs>
          <w:tab w:val="left" w:pos="720"/>
        </w:tabs>
        <w:ind w:left="720" w:hanging="720"/>
        <w:jc w:val="both"/>
      </w:pPr>
      <w:r>
        <w:lastRenderedPageBreak/>
        <w:t>10.</w:t>
      </w:r>
      <w:r>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579E4D4" w14:textId="77777777" w:rsidR="00A86884" w:rsidRDefault="00000000">
      <w:pPr>
        <w:tabs>
          <w:tab w:val="left" w:pos="720"/>
        </w:tabs>
        <w:ind w:left="720" w:hanging="720"/>
        <w:jc w:val="both"/>
      </w:pPr>
      <w:r>
        <w:t>11.</w:t>
      </w:r>
      <w:r>
        <w:tab/>
        <w:t>Plaintiffs paid all premiums due under the policy through and after the loss date. Premium was priced to include windstorm/hail coverage.</w:t>
      </w:r>
    </w:p>
    <w:p w14:paraId="204C5EFF" w14:textId="77777777" w:rsidR="00A86884" w:rsidRDefault="00000000">
      <w:pPr>
        <w:keepNext/>
        <w:spacing w:before="240" w:line="240" w:lineRule="auto"/>
      </w:pPr>
      <w:r>
        <w:rPr>
          <w:b/>
          <w:sz w:val="24"/>
        </w:rPr>
        <w:t>B. The July 13, 2024 Hailstorm</w:t>
      </w:r>
    </w:p>
    <w:p w14:paraId="2CE5217F" w14:textId="77777777" w:rsidR="00A86884" w:rsidRDefault="00000000">
      <w:pPr>
        <w:tabs>
          <w:tab w:val="left" w:pos="720"/>
        </w:tabs>
        <w:ind w:left="720" w:hanging="720"/>
        <w:jc w:val="both"/>
      </w:pPr>
      <w:r>
        <w:t>12.</w:t>
      </w:r>
      <w:r>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6D42DC33" w14:textId="77777777" w:rsidR="00A86884" w:rsidRDefault="00000000">
      <w:pPr>
        <w:keepNext/>
        <w:spacing w:before="240" w:line="240" w:lineRule="auto"/>
      </w:pPr>
      <w:r>
        <w:rPr>
          <w:b/>
          <w:sz w:val="24"/>
        </w:rPr>
        <w:lastRenderedPageBreak/>
        <w:t>C. Discovery of Damage and Claim Opening</w:t>
      </w:r>
    </w:p>
    <w:p w14:paraId="39069347" w14:textId="07C48497" w:rsidR="00A86884" w:rsidRDefault="00000000">
      <w:pPr>
        <w:tabs>
          <w:tab w:val="left" w:pos="720"/>
        </w:tabs>
        <w:ind w:left="720" w:hanging="720"/>
        <w:jc w:val="both"/>
      </w:pPr>
      <w:r>
        <w:t>13.</w:t>
      </w:r>
      <w:r>
        <w:tab/>
        <w:t xml:space="preserve">On August 9, 2024, Mary of Legacy contractor contacted Plaintiffs </w:t>
      </w:r>
      <w:r w:rsidR="00527FA2">
        <w:t xml:space="preserve">to check whether recent storms has caused damage to the property and Plaintiffs discovered </w:t>
      </w:r>
      <w:r>
        <w:t>leaking window</w:t>
      </w:r>
      <w:r w:rsidR="00527FA2">
        <w:t>s</w:t>
      </w:r>
      <w:r>
        <w:t>. On August 13, 2024, Jack of Legacy visited the property, identified dents on the windows, and assisted Plaintiffs in opening a claim with Defendant. Defendant assigned the claim number 7007986837-1-1.</w:t>
      </w:r>
    </w:p>
    <w:p w14:paraId="4C4CE348" w14:textId="77777777" w:rsidR="00A86884" w:rsidRDefault="00000000">
      <w:pPr>
        <w:tabs>
          <w:tab w:val="left" w:pos="720"/>
        </w:tabs>
        <w:ind w:left="720" w:hanging="720"/>
        <w:jc w:val="both"/>
      </w:pPr>
      <w:r>
        <w:t>14.</w:t>
      </w:r>
      <w:r>
        <w:tab/>
        <w:t>Plaintiffs cooperated with Defendant's claim-handling process throughout. Plaintiffs called Defendant for a status update on August 19, 2024 and proactively contacted Hancock Claims Consultants, Defendant's chosen inspection vendor, on August 20, 2024.</w:t>
      </w:r>
    </w:p>
    <w:p w14:paraId="3CB82EDA" w14:textId="77777777" w:rsidR="00A86884" w:rsidRDefault="00000000">
      <w:pPr>
        <w:keepNext/>
        <w:spacing w:before="240" w:line="240" w:lineRule="auto"/>
      </w:pPr>
      <w:r>
        <w:rPr>
          <w:b/>
          <w:sz w:val="24"/>
        </w:rPr>
        <w:t>D. The Three Inspections</w:t>
      </w:r>
    </w:p>
    <w:p w14:paraId="00EA380B" w14:textId="77777777" w:rsidR="00A86884" w:rsidRDefault="00000000">
      <w:pPr>
        <w:tabs>
          <w:tab w:val="left" w:pos="720"/>
        </w:tabs>
        <w:ind w:left="720" w:hanging="720"/>
        <w:jc w:val="both"/>
      </w:pPr>
      <w:r>
        <w:t>15.</w:t>
      </w:r>
      <w:r>
        <w:tab/>
      </w:r>
      <w:r>
        <w:rPr>
          <w:b/>
        </w:rPr>
        <w:t>First inspection (August 29, 2024).</w:t>
      </w:r>
      <w:r>
        <w:t xml:space="preserve"> Hancock Claims Consultants, through Jayden Grimm, inspected the property at Defendant's direction and produced a systematic photo set of every window wrap, each tagged "Damaged – No."</w:t>
      </w:r>
    </w:p>
    <w:p w14:paraId="34749F1E" w14:textId="77777777" w:rsidR="00A86884" w:rsidRDefault="00000000">
      <w:pPr>
        <w:tabs>
          <w:tab w:val="left" w:pos="720"/>
        </w:tabs>
        <w:ind w:left="720" w:hanging="720"/>
        <w:jc w:val="both"/>
      </w:pPr>
      <w:r>
        <w:t>16.</w:t>
      </w:r>
      <w:r>
        <w:tab/>
      </w:r>
      <w:r>
        <w:rPr>
          <w:b/>
        </w:rPr>
        <w:t>Second inspection (September 6, 2024).</w:t>
      </w:r>
      <w:r>
        <w:t xml:space="preserve"> Defendant's own Claims Specialist Representative — Property, Nicholas Brau,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w:t>
      </w:r>
      <w:r>
        <w:lastRenderedPageBreak/>
        <w:t>responded to Plaintiffs' request for his notes by stating "all the information we can release has already been sent to you" — a statement in tension with Defendant's "no report exists" position.</w:t>
      </w:r>
    </w:p>
    <w:p w14:paraId="79090050" w14:textId="77777777" w:rsidR="00A86884" w:rsidRDefault="00000000">
      <w:pPr>
        <w:tabs>
          <w:tab w:val="left" w:pos="720"/>
        </w:tabs>
        <w:ind w:left="720" w:hanging="720"/>
        <w:jc w:val="both"/>
      </w:pPr>
      <w:r>
        <w:t>17.</w:t>
      </w:r>
      <w:r>
        <w:tab/>
      </w:r>
      <w:r>
        <w:rPr>
          <w:b/>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including the front/west triple window above the main entry, the upper-west three-unit bedroom window, the upper southwest bedroom window, the east family-room bay projection, the upper-east window above the four-season porch, the four-season porch southeast/east/northeast/north windows, the kitchen east window, the main-level northeast three-unit window, the upper-north window above the kitchen, and the rear/east garage window, together with a siding penetration below the upper northeast bedroom.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siding and trim board observations (photographs A-25, A-26, A-53, A-54, A-90, and A-148), and a dent with a scrape mark in the screen of a door window (photograph A-141). Notwithstanding this catalog of observed damage — including non-window damage Defendant had not asked the engineer to evaluate </w:t>
      </w:r>
      <w:r>
        <w:lastRenderedPageBreak/>
        <w:t>but which the engineer's photographer documented — the Prieve report concluded that the damage was not consistent with hail.</w:t>
      </w:r>
    </w:p>
    <w:p w14:paraId="695DEE2A" w14:textId="77777777" w:rsidR="00A86884" w:rsidRDefault="00000000">
      <w:pPr>
        <w:keepNext/>
        <w:spacing w:before="240" w:line="240" w:lineRule="auto"/>
      </w:pPr>
      <w:r>
        <w:rPr>
          <w:b/>
          <w:sz w:val="24"/>
        </w:rPr>
        <w:t>E. The Two Denials, on Incompatible Theories</w:t>
      </w:r>
    </w:p>
    <w:p w14:paraId="5386B579" w14:textId="77777777" w:rsidR="00A86884" w:rsidRDefault="00000000">
      <w:pPr>
        <w:tabs>
          <w:tab w:val="left" w:pos="720"/>
        </w:tabs>
        <w:ind w:left="720" w:hanging="720"/>
        <w:jc w:val="both"/>
      </w:pPr>
      <w:r>
        <w:t>18.</w:t>
      </w:r>
      <w:r>
        <w:tab/>
      </w:r>
      <w:r>
        <w:rPr>
          <w:b/>
        </w:rPr>
        <w:t>First denial (September 3, 2024).</w:t>
      </w:r>
      <w:r>
        <w:t xml:space="preserve"> Five business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71ECB23A" w14:textId="77777777" w:rsidR="00A86884" w:rsidRDefault="00000000">
      <w:pPr>
        <w:tabs>
          <w:tab w:val="left" w:pos="720"/>
        </w:tabs>
        <w:ind w:left="720" w:hanging="720"/>
        <w:jc w:val="both"/>
      </w:pPr>
      <w:r>
        <w:t>19.</w:t>
      </w:r>
      <w:r>
        <w:tab/>
      </w:r>
      <w:r>
        <w:rPr>
          <w:b/>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207E6205" w14:textId="77777777" w:rsidR="00A86884" w:rsidRDefault="00000000">
      <w:pPr>
        <w:tabs>
          <w:tab w:val="left" w:pos="720"/>
        </w:tabs>
        <w:ind w:left="720" w:hanging="720"/>
        <w:jc w:val="both"/>
      </w:pPr>
      <w:r>
        <w:t>20.</w:t>
      </w:r>
      <w:r>
        <w:tab/>
      </w:r>
      <w:r>
        <w:rPr>
          <w:b/>
        </w:rPr>
        <w:t>Defendant adopted Prieve Engineering's representation that "the most recent hail in Eden Prairie reported in 2020."</w:t>
      </w:r>
      <w:r>
        <w:t xml:space="preserve"> The November 4, 2024 denial transmitted Prieve's report to Plaintiffs as the basis for the denial. Prieve's report </w:t>
      </w:r>
      <w:r>
        <w:lastRenderedPageBreak/>
        <w:t>stated, in the Weather Records section, that stormersite and the NOAA Storm Events Database showed "most recent hail in Eden Prairie reported in 2020." That representation of historical weather fact was and is objectively false. It is independently disproven by:</w:t>
      </w:r>
    </w:p>
    <w:p w14:paraId="2B83128A" w14:textId="77777777" w:rsidR="00A86884" w:rsidRDefault="00000000">
      <w:pPr>
        <w:ind w:left="1080"/>
        <w:jc w:val="both"/>
      </w:pPr>
      <w:r>
        <w:t>a. National Weather Service Twin Cities/Chanhassen documentation of severe thunderstorms across Minnesota on July 13–14, 2024 with hail up to 3.5–4 inches and a 48 MPH wind gust at Eden Prairie ASOS at 1:00 AM on July 14, 2024;</w:t>
      </w:r>
    </w:p>
    <w:p w14:paraId="5E6AFEDD" w14:textId="77777777" w:rsidR="00A86884" w:rsidRDefault="00000000">
      <w:pPr>
        <w:ind w:left="1080"/>
        <w:jc w:val="both"/>
      </w:pPr>
      <w:r>
        <w:t>b. Stormersite data showing hail reports near Eden Prairie in 2022, 2023, and 2024;</w:t>
      </w:r>
    </w:p>
    <w:p w14:paraId="49C0501B" w14:textId="77777777" w:rsidR="00A86884" w:rsidRDefault="00000000">
      <w:pPr>
        <w:ind w:left="1080"/>
        <w:jc w:val="both"/>
      </w:pPr>
      <w:r>
        <w:t>c. City of Eden Prairie public permit records documenting hail-driven exterior repairs on the same street as Plaintiffs' home, including permit EP187829 at 17490 George Moran Drive (window replacement, issued November 15, 2023, cause: hail) and permit EP190835 at 17708 George Moran Drive (window replacement, issued May 9, 2024, cause: hail);</w:t>
      </w:r>
    </w:p>
    <w:p w14:paraId="71CE0442" w14:textId="77777777" w:rsidR="00A86884" w:rsidRDefault="00000000">
      <w:pPr>
        <w:ind w:left="1080"/>
        <w:jc w:val="both"/>
      </w:pPr>
      <w:r>
        <w:t>d. Plaintiffs' contemporaneous canvass of nineteen neighboring homeowners, of whom fourteen confirmed hail-driven exterior repairs in the immediate neighborhood after 2020; and</w:t>
      </w:r>
    </w:p>
    <w:p w14:paraId="078639C3" w14:textId="77777777" w:rsidR="00A86884" w:rsidRDefault="00000000">
      <w:pPr>
        <w:ind w:left="1080"/>
        <w:jc w:val="both"/>
      </w:pPr>
      <w:r>
        <w:lastRenderedPageBreak/>
        <w:t>e. Defendant's own September 12, 2025 appraisal award, signed by the umpire Wade Roos and by Plaintiffs' appraiser John Foster, finding hail as the cause of loss to insured windows at the property.</w:t>
      </w:r>
    </w:p>
    <w:p w14:paraId="4362A2F7" w14:textId="77777777" w:rsidR="00A86884" w:rsidRDefault="00000000">
      <w:pPr>
        <w:tabs>
          <w:tab w:val="left" w:pos="720"/>
        </w:tabs>
        <w:ind w:left="720" w:hanging="720"/>
        <w:jc w:val="both"/>
      </w:pPr>
      <w:r>
        <w:t>21.</w:t>
      </w:r>
      <w:r>
        <w:tab/>
      </w:r>
      <w:r>
        <w:rPr>
          <w:b/>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3A12AF41" w14:textId="77777777" w:rsidR="00A86884" w:rsidRDefault="00000000">
      <w:pPr>
        <w:tabs>
          <w:tab w:val="left" w:pos="720"/>
        </w:tabs>
        <w:ind w:left="720" w:hanging="720"/>
        <w:jc w:val="both"/>
      </w:pPr>
      <w:r>
        <w:t>22.</w:t>
      </w:r>
      <w:r>
        <w:tab/>
      </w:r>
      <w:r>
        <w:rPr>
          <w:b/>
        </w:rPr>
        <w:t>The Prieve report on which the November 4, 2024 denial principally rests is independently deficient on its face.</w:t>
      </w:r>
      <w:r>
        <w:t xml:space="preserve"> The deficiencies include: (a) Defendant scoped Prieve's engagement to "windows only," excluding from the engineer's mandate the siding, downspouts, flashing, and doors Plaintiffs had reported as damaged, yet Defendant used the report — whose Conclusions purport to opine on the east-side siding penetration as well — as the basis for denying the entire claim; (b) Prieve's own Photo Appendix A documents non-window damage in its captions (dented downspouts at A-42, A-91 through A-93, A-98 and A-99; dented flashing at A-103; chipped trim board at A-90 and A-148) that the report's narrative and Conclusions do not address; (c) Plaintiffs' gutters and downspouts were replaced after September 13, 2021, such that any dent on those components physically cannot pre-date late 2021 and is direct physical evidence of post-2020 hail activity at the property; (d) the report's Background section acknowledges that "Convective storm activity and hail have been reported on multiple occasions in the area of the subject structure" while its Conclusion 1 states that "no recent hail </w:t>
      </w:r>
      <w:r>
        <w:lastRenderedPageBreak/>
        <w:t xml:space="preserve">damage has occurred" — internally inconsistent statements the report does not reconcile; (e) the report's narrative uses the word "dent" or "dents" sixteen separate times on a single page (the east-side discussion) before concluding "no recent hail damage has occurred"; (f) the report contains no quantitative impact-force calculation, no terminal-velocity calculation, no material-specific dent-depth threshold for extruded aluminum or aluminum-clad wood windows, no peer-reviewed citation, and no stated error rate; (g) Conclusion 4's directional dismissal of the east-side siding penetration ("storms moving from west to east with hail originating from a westerly direction") is a generalization not derived from the specific July 13–14, 2024 storm event, which the National Weather Service documents as a multi-round overnight system with severe weather across Minnesota; (h) 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 (i) 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w:t>
      </w:r>
      <w:r>
        <w:lastRenderedPageBreak/>
        <w:t>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9DA1C10" w14:textId="77777777" w:rsidR="00A86884" w:rsidRDefault="00000000">
      <w:pPr>
        <w:tabs>
          <w:tab w:val="left" w:pos="720"/>
        </w:tabs>
        <w:ind w:left="720" w:hanging="720"/>
        <w:jc w:val="both"/>
      </w:pPr>
      <w:r>
        <w:t>23.</w:t>
      </w:r>
      <w:r>
        <w:tab/>
      </w:r>
      <w:r>
        <w:rPr>
          <w:b/>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F738EA5" w14:textId="77777777" w:rsidR="00A86884" w:rsidRDefault="00000000">
      <w:pPr>
        <w:ind w:left="1080"/>
        <w:jc w:val="both"/>
      </w:pPr>
      <w:r>
        <w:t xml:space="preserve">a. </w:t>
      </w:r>
      <w:r>
        <w:rPr>
          <w:b/>
        </w:rPr>
        <w:t>The 2020 scope was two sashes, not the home's windows generally.</w:t>
      </w:r>
      <w:r>
        <w:t xml:space="preserve"> The 2020 Building Loss Worksheet and Xactimate approved two casement windows at line items 1–4, with no other window-related line items. Plaintiffs maintain that the dents within that scope were on two sashes, not two whole window units.</w:t>
      </w:r>
    </w:p>
    <w:p w14:paraId="4F341AF2" w14:textId="77777777" w:rsidR="00A86884" w:rsidRDefault="00000000">
      <w:pPr>
        <w:ind w:left="1080"/>
        <w:jc w:val="both"/>
      </w:pPr>
      <w:r>
        <w:lastRenderedPageBreak/>
        <w:t xml:space="preserve">b. </w:t>
      </w:r>
      <w:r>
        <w:rPr>
          <w:b/>
        </w:rPr>
        <w:t>Defendant's 2020 inspection documented hail dents warranting repair on only those two sashes and identified no other dented sash or window anywhere on the home.</w:t>
      </w:r>
      <w:r>
        <w:t xml:space="preserve"> Defendant's own record therefore reflects that, as of October 13, 2020, no window or sash on the property other than the two paid sashes was identified as hail-damaged. Any dent that the 2024 inspections documented on a different sash or window is, by Defendant's own baseline, damage that post-dates the 2020 inspection.</w:t>
      </w:r>
    </w:p>
    <w:p w14:paraId="1CFA88F0" w14:textId="77777777" w:rsidR="00A86884" w:rsidRDefault="00000000">
      <w:pPr>
        <w:ind w:left="1080"/>
        <w:jc w:val="both"/>
      </w:pPr>
      <w:r>
        <w:t xml:space="preserve">c. </w:t>
      </w:r>
      <w:r>
        <w:rPr>
          <w:b/>
        </w:rPr>
        <w:t>The only documented hail event at the property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only two sashes.</w:t>
      </w:r>
    </w:p>
    <w:p w14:paraId="52641C8E" w14:textId="77777777" w:rsidR="00A86884" w:rsidRDefault="00000000">
      <w:pPr>
        <w:ind w:left="1080"/>
        <w:jc w:val="both"/>
      </w:pPr>
      <w:r>
        <w:t xml:space="preserve">d. </w:t>
      </w:r>
      <w:r>
        <w:rPr>
          <w:b/>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only two sashes. The "prior claim" basket cannot hold more sashes than Defendant's own 2020 record documented, and Prieve's attribution of additional sashes to the 2020 claim is contradicted by Defendant's own file.</w:t>
      </w:r>
    </w:p>
    <w:p w14:paraId="65A8445B" w14:textId="77777777" w:rsidR="00A86884" w:rsidRDefault="00000000">
      <w:pPr>
        <w:ind w:left="1080"/>
        <w:jc w:val="both"/>
      </w:pPr>
      <w:r>
        <w:lastRenderedPageBreak/>
        <w:t xml:space="preserve">e. </w:t>
      </w:r>
      <w:r>
        <w:rPr>
          <w:b/>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03534FEC" w14:textId="77777777" w:rsidR="00A86884" w:rsidRDefault="00000000">
      <w:pPr>
        <w:keepNext/>
        <w:spacing w:before="240" w:line="240" w:lineRule="auto"/>
      </w:pPr>
      <w:r>
        <w:rPr>
          <w:b/>
          <w:sz w:val="24"/>
        </w:rPr>
        <w:t>F. The "Engineer's Report Only" Gatekeeping Rule</w:t>
      </w:r>
    </w:p>
    <w:p w14:paraId="2E2DC3B0" w14:textId="77777777" w:rsidR="00A86884" w:rsidRDefault="00000000">
      <w:pPr>
        <w:tabs>
          <w:tab w:val="left" w:pos="720"/>
        </w:tabs>
        <w:ind w:left="720" w:hanging="720"/>
        <w:jc w:val="both"/>
      </w:pPr>
      <w:r>
        <w:t>24.</w:t>
      </w:r>
      <w:r>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2CB8FE33" w14:textId="77777777" w:rsidR="00A86884" w:rsidRDefault="00000000">
      <w:pPr>
        <w:tabs>
          <w:tab w:val="left" w:pos="720"/>
        </w:tabs>
        <w:ind w:left="720" w:hanging="720"/>
        <w:jc w:val="both"/>
      </w:pPr>
      <w:r>
        <w:t>25.</w:t>
      </w:r>
      <w:r>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4FFCAB0A" w14:textId="77777777" w:rsidR="00A86884" w:rsidRDefault="00000000">
      <w:pPr>
        <w:tabs>
          <w:tab w:val="left" w:pos="720"/>
        </w:tabs>
        <w:ind w:left="720" w:hanging="720"/>
        <w:jc w:val="both"/>
      </w:pPr>
      <w:r>
        <w:t>26.</w:t>
      </w:r>
      <w:r>
        <w:tab/>
      </w:r>
      <w:r>
        <w:rPr>
          <w:b/>
        </w:rPr>
        <w:t>The policy contains no provision requiring evidence to come from an engineer.</w:t>
      </w:r>
      <w:r>
        <w:t xml:space="preserve"> The "engineer's report only" rule was articulated at the supervisor level </w:t>
      </w:r>
      <w:r>
        <w:lastRenderedPageBreak/>
        <w:t>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2B3A8789" w14:textId="77777777" w:rsidR="00A86884" w:rsidRDefault="00000000">
      <w:pPr>
        <w:keepNext/>
        <w:spacing w:before="240" w:line="240" w:lineRule="auto"/>
      </w:pPr>
      <w:r>
        <w:rPr>
          <w:b/>
          <w:sz w:val="24"/>
        </w:rPr>
        <w:t>G. Plaintiffs' Repeated Submissions of Disproving Evidence; Defendant's Refusal to Engage</w:t>
      </w:r>
    </w:p>
    <w:p w14:paraId="7F6E51A1" w14:textId="77777777" w:rsidR="00A86884" w:rsidRDefault="00000000">
      <w:pPr>
        <w:tabs>
          <w:tab w:val="left" w:pos="720"/>
        </w:tabs>
        <w:ind w:left="720" w:hanging="720"/>
        <w:jc w:val="both"/>
      </w:pPr>
      <w:r>
        <w:t>27.</w:t>
      </w:r>
      <w:r>
        <w:tab/>
        <w:t>Beginning on September 5, 2024 and continuing through May 28, 2025, Plaintiffs submitted four separate rounds of evidence disproving the factual premises of Defendant's denials. Defendant did not retract the denials, did not reopen the claim, and did not engage substantively with any of the submissions. Plaintiffs' regulatory complaint to the Minnesota Department of Commerce filed November 19, 2024 (Complaint ID 93547) was processed and escalated to Director-level review but produced no compulsory action.</w:t>
      </w:r>
    </w:p>
    <w:p w14:paraId="463E9CE7" w14:textId="77777777" w:rsidR="00A86884" w:rsidRDefault="00000000">
      <w:pPr>
        <w:keepNext/>
        <w:spacing w:before="240" w:line="240" w:lineRule="auto"/>
      </w:pPr>
      <w:r>
        <w:rPr>
          <w:b/>
          <w:sz w:val="24"/>
        </w:rPr>
        <w:t>H. Plaintiffs' Direct Inquiry About Deadlines; Defendant's Non-Answer; Defendant's Continued Participation in the Claim</w:t>
      </w:r>
    </w:p>
    <w:p w14:paraId="6B1616B8" w14:textId="77777777" w:rsidR="00A86884" w:rsidRDefault="00000000">
      <w:pPr>
        <w:tabs>
          <w:tab w:val="left" w:pos="720"/>
        </w:tabs>
        <w:ind w:left="720" w:hanging="720"/>
        <w:jc w:val="both"/>
      </w:pPr>
      <w:r>
        <w:t>28.</w:t>
      </w:r>
      <w:r>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w:t>
      </w:r>
      <w:r>
        <w:lastRenderedPageBreak/>
        <w:t>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497271A7" w14:textId="77777777" w:rsidR="00A86884" w:rsidRDefault="00000000">
      <w:pPr>
        <w:tabs>
          <w:tab w:val="left" w:pos="720"/>
        </w:tabs>
        <w:ind w:left="720" w:hanging="720"/>
        <w:jc w:val="both"/>
      </w:pPr>
      <w:r>
        <w:t>29.</w:t>
      </w:r>
      <w:r>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467EE138" w14:textId="77777777" w:rsidR="00A86884" w:rsidRDefault="00000000">
      <w:pPr>
        <w:keepNext/>
        <w:spacing w:before="240" w:line="240" w:lineRule="auto"/>
      </w:pPr>
      <w:r>
        <w:rPr>
          <w:b/>
          <w:sz w:val="24"/>
        </w:rPr>
        <w:lastRenderedPageBreak/>
        <w:t>I. The Appraisal Process</w:t>
      </w:r>
    </w:p>
    <w:p w14:paraId="0C92FB1C" w14:textId="77777777" w:rsidR="00A86884" w:rsidRDefault="00000000">
      <w:pPr>
        <w:tabs>
          <w:tab w:val="left" w:pos="720"/>
        </w:tabs>
        <w:ind w:left="720" w:hanging="720"/>
        <w:jc w:val="both"/>
      </w:pPr>
      <w:r>
        <w:t>30.</w:t>
      </w:r>
      <w:r>
        <w:tab/>
        <w:t>On August 3, 2025, Pure Construction, on behalf of Plaintiffs, filed a formal Demand for Appraisal under Minn. Stat. § 65A.01, naming claim 7007986837-1-1, loss date July 13, 2024, and three items in dispute: Windows, Siding (repaint), and Siding (replace and remove). Plaintiffs filed a Sworn Statement on Proof of Loss with the demand stating a total claimed loss of $310,000 against Coverage A of $886,000 with a $17,720 deductible.</w:t>
      </w:r>
    </w:p>
    <w:p w14:paraId="7DB82BDF" w14:textId="77777777" w:rsidR="00A86884" w:rsidRDefault="00000000">
      <w:pPr>
        <w:tabs>
          <w:tab w:val="left" w:pos="720"/>
        </w:tabs>
        <w:ind w:left="720" w:hanging="720"/>
        <w:jc w:val="both"/>
      </w:pPr>
      <w:r>
        <w:t>31.</w:t>
      </w:r>
      <w:r>
        <w:tab/>
        <w:t>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awarded "Windows (F1.7 / B1.2)" at a Replacement Cost Value of $12,800 and Actual Cash Value of $6,400. Both siding items received $0. Greg Tomes did not sign.</w:t>
      </w:r>
    </w:p>
    <w:p w14:paraId="1D780DE3" w14:textId="77777777" w:rsidR="00A86884" w:rsidRDefault="00000000">
      <w:pPr>
        <w:tabs>
          <w:tab w:val="left" w:pos="720"/>
        </w:tabs>
        <w:ind w:left="720" w:hanging="720"/>
        <w:jc w:val="both"/>
      </w:pPr>
      <w:r>
        <w:t>32.</w:t>
      </w:r>
      <w:r>
        <w:tab/>
      </w:r>
      <w:r>
        <w:rPr>
          <w:b/>
        </w:rPr>
        <w:t>The appraisal panel found hail as the cause of loss</w:t>
      </w:r>
      <w:r>
        <w:t xml:space="preserve"> to the awarded windows. Under </w:t>
      </w:r>
      <w:r>
        <w:rPr>
          <w:i/>
        </w:rPr>
        <w:t>Quade v. Secura Insurance</w:t>
      </w:r>
      <w:r>
        <w:t>, 814 N.W.2d 703 (Minn. 2012), the panel's causation finding is binding on Defendant.</w:t>
      </w:r>
    </w:p>
    <w:p w14:paraId="21B98B51" w14:textId="77777777" w:rsidR="00A86884" w:rsidRDefault="00000000">
      <w:pPr>
        <w:tabs>
          <w:tab w:val="left" w:pos="720"/>
        </w:tabs>
        <w:ind w:left="720" w:hanging="720"/>
        <w:jc w:val="both"/>
      </w:pPr>
      <w:r>
        <w:t>33.</w:t>
      </w:r>
      <w:r>
        <w:tab/>
      </w:r>
      <w:r>
        <w:rPr>
          <w:b/>
        </w:rPr>
        <w:t>The award does not state actual value and loss separately to each item.</w:t>
      </w:r>
      <w:r>
        <w:t xml:space="preserve"> The award identifies the awarded windows only by the undefined codes "F1.7" and </w:t>
      </w:r>
      <w:r>
        <w:lastRenderedPageBreak/>
        <w:t>"B1.2" against a single lump-sum $12,800 RCV. Plaintiffs cannot determine from the face of the award which windows are covered.</w:t>
      </w:r>
    </w:p>
    <w:p w14:paraId="662271B3" w14:textId="77777777" w:rsidR="00A86884" w:rsidRDefault="00000000">
      <w:pPr>
        <w:tabs>
          <w:tab w:val="left" w:pos="720"/>
        </w:tabs>
        <w:ind w:left="720" w:hanging="720"/>
        <w:jc w:val="both"/>
      </w:pPr>
      <w:r>
        <w:t>34.</w:t>
      </w:r>
      <w:r>
        <w:tab/>
      </w:r>
      <w:r>
        <w:rPr>
          <w:b/>
        </w:rPr>
        <w:t>The umpire produced no report or estimate.</w:t>
      </w:r>
      <w:r>
        <w:t xml:space="preserve"> On September 24, 2025, Defendant confirmed in writing: "Unfortunately, the umpire did not provide a report or estimate."</w:t>
      </w:r>
    </w:p>
    <w:p w14:paraId="5270C09C" w14:textId="77777777" w:rsidR="00A86884" w:rsidRDefault="00000000">
      <w:pPr>
        <w:tabs>
          <w:tab w:val="left" w:pos="720"/>
        </w:tabs>
        <w:ind w:left="720" w:hanging="720"/>
        <w:jc w:val="both"/>
      </w:pPr>
      <w:r>
        <w:t>35.</w:t>
      </w:r>
      <w:r>
        <w:tab/>
      </w:r>
      <w:r>
        <w:rPr>
          <w:b/>
        </w:rPr>
        <w:t>The net payment to Plaintiffs is $0</w:t>
      </w:r>
      <w:r>
        <w:t xml:space="preserve"> because the $17,720 deductible exceeds the $6,400 ACV awarded.</w:t>
      </w:r>
    </w:p>
    <w:p w14:paraId="4A99FFAE" w14:textId="77777777" w:rsidR="00A86884" w:rsidRDefault="00000000">
      <w:pPr>
        <w:keepNext/>
        <w:spacing w:before="240" w:line="240" w:lineRule="auto"/>
      </w:pPr>
      <w:r>
        <w:rPr>
          <w:b/>
          <w:sz w:val="24"/>
        </w:rPr>
        <w:t>J. Post-Appraisal Refusal to Engage</w:t>
      </w:r>
    </w:p>
    <w:p w14:paraId="10F29C57" w14:textId="77777777" w:rsidR="00A86884" w:rsidRDefault="00000000">
      <w:pPr>
        <w:tabs>
          <w:tab w:val="left" w:pos="720"/>
        </w:tabs>
        <w:ind w:left="720" w:hanging="720"/>
        <w:jc w:val="both"/>
      </w:pPr>
      <w:r>
        <w:t>36.</w:t>
      </w:r>
      <w:r>
        <w:tab/>
      </w:r>
      <w:r>
        <w:rPr>
          <w:b/>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46647F2F" w14:textId="77777777" w:rsidR="00A86884" w:rsidRDefault="00000000">
      <w:pPr>
        <w:tabs>
          <w:tab w:val="left" w:pos="720"/>
        </w:tabs>
        <w:ind w:left="720" w:hanging="720"/>
        <w:jc w:val="both"/>
      </w:pPr>
      <w:r>
        <w:t>37.</w:t>
      </w:r>
      <w:r>
        <w:tab/>
      </w:r>
      <w:r>
        <w:rPr>
          <w:b/>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w:t>
      </w:r>
      <w:r>
        <w:lastRenderedPageBreak/>
        <w:t xml:space="preserve">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rPr>
        <w:t>Quade v. Secura Insurance</w:t>
      </w:r>
      <w:r>
        <w:t>,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18701627" w14:textId="77777777" w:rsidR="00A86884" w:rsidRDefault="00000000">
      <w:pPr>
        <w:tabs>
          <w:tab w:val="left" w:pos="720"/>
        </w:tabs>
        <w:ind w:left="720" w:hanging="720"/>
        <w:jc w:val="both"/>
      </w:pPr>
      <w:r>
        <w:t>38.</w:t>
      </w:r>
      <w:r>
        <w:tab/>
      </w:r>
      <w:r>
        <w:rPr>
          <w:b/>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w:t>
      </w:r>
      <w:r>
        <w:lastRenderedPageBreak/>
        <w:t>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1F0E951C" w14:textId="77777777" w:rsidR="00A86884" w:rsidRDefault="00000000">
      <w:pPr>
        <w:tabs>
          <w:tab w:val="left" w:pos="720"/>
        </w:tabs>
        <w:ind w:left="720" w:hanging="720"/>
        <w:jc w:val="both"/>
      </w:pPr>
      <w:r>
        <w:t>39.</w:t>
      </w:r>
      <w:r>
        <w:tab/>
      </w:r>
      <w:r>
        <w:rPr>
          <w:b/>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0D7B1CD4" w14:textId="77777777" w:rsidR="00A86884" w:rsidRDefault="00000000">
      <w:pPr>
        <w:tabs>
          <w:tab w:val="left" w:pos="720"/>
        </w:tabs>
        <w:ind w:left="720" w:hanging="720"/>
        <w:jc w:val="both"/>
      </w:pPr>
      <w:r>
        <w:t>40.</w:t>
      </w:r>
      <w:r>
        <w:tab/>
      </w:r>
      <w:r>
        <w:rPr>
          <w:b/>
        </w:rPr>
        <w:t>Plaintiffs have continued to suffer ongoing physical damage.</w:t>
      </w:r>
      <w:r>
        <w:t xml:space="preserve"> On October 28, 2025, Plaintiffs reported to Defendant that windows were actively leaking on a rainy day. Defendant did not respond on the merits.</w:t>
      </w:r>
    </w:p>
    <w:p w14:paraId="470DB9B2" w14:textId="77777777" w:rsidR="00A86884" w:rsidRDefault="00000000">
      <w:pPr>
        <w:keepNext/>
        <w:spacing w:before="240" w:line="240" w:lineRule="auto"/>
      </w:pPr>
      <w:r>
        <w:rPr>
          <w:b/>
          <w:sz w:val="24"/>
        </w:rPr>
        <w:t>K. Missing Investigation and Appraisal Records</w:t>
      </w:r>
    </w:p>
    <w:p w14:paraId="7499C2D8" w14:textId="77777777" w:rsidR="00A86884" w:rsidRDefault="00000000">
      <w:pPr>
        <w:tabs>
          <w:tab w:val="left" w:pos="720"/>
        </w:tabs>
        <w:ind w:left="720" w:hanging="720"/>
        <w:jc w:val="both"/>
      </w:pPr>
      <w:r>
        <w:t>41.</w:t>
      </w:r>
      <w:r>
        <w:tab/>
        <w:t xml:space="preserve">The following records, each of which Defendant or its agents had a duty to create or preserve, do not exist or have not been produced despite Plaintiffs' written </w:t>
      </w:r>
      <w:r>
        <w:lastRenderedPageBreak/>
        <w:t>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49D4C8DC" w14:textId="77777777" w:rsidR="00A86884" w:rsidRDefault="00000000">
      <w:pPr>
        <w:keepNext/>
        <w:spacing w:before="240" w:line="240" w:lineRule="auto"/>
      </w:pPr>
      <w:r>
        <w:rPr>
          <w:b/>
          <w:sz w:val="24"/>
        </w:rPr>
        <w:t>L. Manufacturer Discontinuation of the Insured Windows</w:t>
      </w:r>
    </w:p>
    <w:p w14:paraId="032A8B73" w14:textId="77777777" w:rsidR="00A86884" w:rsidRDefault="00000000">
      <w:pPr>
        <w:tabs>
          <w:tab w:val="left" w:pos="720"/>
        </w:tabs>
        <w:ind w:left="720" w:hanging="720"/>
        <w:jc w:val="both"/>
      </w:pPr>
      <w:r>
        <w:t>42.</w:t>
      </w:r>
      <w:r>
        <w:tab/>
        <w:t xml:space="preserve">The insured windows are, on information and belief, manufactured by Semco Windows and Doors of Merrill, Wisconsin, with manufacturer stamps in the </w:t>
      </w:r>
      <w:r>
        <w:lastRenderedPageBreak/>
        <w:t>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123460FE" w14:textId="77777777" w:rsidR="00A86884" w:rsidRDefault="00000000">
      <w:pPr>
        <w:tabs>
          <w:tab w:val="left" w:pos="720"/>
        </w:tabs>
        <w:ind w:left="720" w:hanging="720"/>
        <w:jc w:val="both"/>
      </w:pPr>
      <w:r>
        <w:t>43.</w:t>
      </w:r>
      <w:r>
        <w:tab/>
        <w:t>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7E79BC2D" w14:textId="77777777" w:rsidR="00A86884" w:rsidRDefault="00000000">
      <w:pPr>
        <w:keepNext/>
        <w:spacing w:before="280" w:line="240" w:lineRule="auto"/>
        <w:jc w:val="center"/>
      </w:pPr>
      <w:r>
        <w:rPr>
          <w:b/>
        </w:rPr>
        <w:t>V. CONDITIONS PRECEDENT</w:t>
      </w:r>
    </w:p>
    <w:p w14:paraId="1F34FB44" w14:textId="77777777" w:rsidR="00A86884" w:rsidRDefault="00000000">
      <w:pPr>
        <w:tabs>
          <w:tab w:val="left" w:pos="720"/>
        </w:tabs>
        <w:ind w:left="720" w:hanging="720"/>
        <w:jc w:val="both"/>
      </w:pPr>
      <w:r>
        <w:t>44.</w:t>
      </w:r>
      <w:r>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4E982F5A" w14:textId="77777777" w:rsidR="00A86884" w:rsidRDefault="00000000">
      <w:pPr>
        <w:keepNext/>
        <w:spacing w:before="280" w:line="240" w:lineRule="auto"/>
        <w:jc w:val="center"/>
      </w:pPr>
      <w:r>
        <w:rPr>
          <w:b/>
        </w:rPr>
        <w:lastRenderedPageBreak/>
        <w:t>VI. CAUSES OF ACTION</w:t>
      </w:r>
    </w:p>
    <w:p w14:paraId="3F5D6CC2" w14:textId="77777777" w:rsidR="00A86884" w:rsidRDefault="00000000">
      <w:pPr>
        <w:keepNext/>
        <w:spacing w:before="240" w:line="240" w:lineRule="auto"/>
        <w:jc w:val="center"/>
      </w:pPr>
      <w:r>
        <w:rPr>
          <w:b/>
          <w:sz w:val="24"/>
        </w:rPr>
        <w:t>COUNT I — BREACH OF CONTRACT</w:t>
      </w:r>
    </w:p>
    <w:p w14:paraId="7E2218E0" w14:textId="77777777" w:rsidR="00A86884" w:rsidRDefault="00000000">
      <w:pPr>
        <w:tabs>
          <w:tab w:val="left" w:pos="720"/>
        </w:tabs>
        <w:ind w:left="720" w:hanging="720"/>
        <w:jc w:val="both"/>
      </w:pPr>
      <w:r>
        <w:t>45.</w:t>
      </w:r>
      <w:r>
        <w:tab/>
        <w:t>Plaintiffs reallege and incorporate paragraphs 1 through 44 above.</w:t>
      </w:r>
    </w:p>
    <w:p w14:paraId="7D2157BC" w14:textId="77777777" w:rsidR="00A86884" w:rsidRDefault="00000000">
      <w:pPr>
        <w:tabs>
          <w:tab w:val="left" w:pos="720"/>
        </w:tabs>
        <w:ind w:left="720" w:hanging="720"/>
        <w:jc w:val="both"/>
      </w:pPr>
      <w:r>
        <w:t>46.</w:t>
      </w:r>
      <w:r>
        <w:tab/>
        <w:t>Policy 98055-49-65 is a valid and enforceable contract. The policy was in force on July 13, 2024.</w:t>
      </w:r>
    </w:p>
    <w:p w14:paraId="032FCC00" w14:textId="77777777" w:rsidR="00A86884" w:rsidRDefault="00000000">
      <w:pPr>
        <w:tabs>
          <w:tab w:val="left" w:pos="720"/>
        </w:tabs>
        <w:ind w:left="720" w:hanging="720"/>
        <w:jc w:val="both"/>
      </w:pPr>
      <w:r>
        <w:t>47.</w:t>
      </w:r>
      <w:r>
        <w:tab/>
        <w:t>Plaintiffs performed all conditions precedent.</w:t>
      </w:r>
    </w:p>
    <w:p w14:paraId="5BB1C37C" w14:textId="77777777" w:rsidR="00A86884" w:rsidRDefault="00000000">
      <w:pPr>
        <w:tabs>
          <w:tab w:val="left" w:pos="720"/>
        </w:tabs>
        <w:ind w:left="720" w:hanging="720"/>
        <w:jc w:val="both"/>
      </w:pPr>
      <w:r>
        <w:t>48.</w:t>
      </w:r>
      <w:r>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rPr>
        <w:t>Quade v. Secura Insurance</w:t>
      </w:r>
      <w:r>
        <w:t>,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4DA561B0" w14:textId="77777777" w:rsidR="00A86884" w:rsidRDefault="00000000">
      <w:pPr>
        <w:tabs>
          <w:tab w:val="left" w:pos="720"/>
        </w:tabs>
        <w:ind w:left="720" w:hanging="720"/>
        <w:jc w:val="both"/>
      </w:pPr>
      <w:r>
        <w:t>49.</w:t>
      </w:r>
      <w:r>
        <w:tab/>
      </w:r>
      <w:r>
        <w:rPr>
          <w:b/>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5CA16E29" w14:textId="77777777" w:rsidR="00A86884" w:rsidRDefault="00000000">
      <w:pPr>
        <w:ind w:left="1080"/>
        <w:jc w:val="both"/>
      </w:pPr>
      <w:r>
        <w:rPr>
          <w:b/>
        </w:rPr>
        <w:t xml:space="preserve">(a) Windows the panel did not evaluate (the </w:t>
      </w:r>
      <w:r>
        <w:rPr>
          <w:b/>
          <w:i/>
        </w:rPr>
        <w:t>Quade</w:t>
      </w:r>
      <w:r>
        <w:rPr>
          <w:b/>
        </w:rPr>
        <w:t xml:space="preserve"> reservation).</w:t>
      </w:r>
      <w:r>
        <w:t xml:space="preserve"> The award identifies the awarded windows only by the undefined codes "F1.7" and </w:t>
      </w:r>
      <w:r>
        <w:lastRenderedPageBreak/>
        <w:t xml:space="preserve">"B1.2."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southwest bedroom window (photographs A-59 through A-65), the upper east window above the porch (photographs A-118 through A-124), the northeast-facing family room window (photographs A-125 through A-135), the southeast window at deck (photographs A-136 through A-141), the upper bay window group at the central quadrant (photographs A-147 through A-160), the upper east window above porch (photographs A-161 through A-166), the four-season porch windows (photographs A-167 through A-175), the north-facing porch window (photographs A-176 through A-183),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rPr>
        <w:t>Quade</w:t>
      </w:r>
      <w:r>
        <w:t xml:space="preserve">, the panel's authority extends only to items it actually evaluated. For each hail-damaged window the panel did not evaluate, coverage and amount of </w:t>
      </w:r>
      <w:r>
        <w:lastRenderedPageBreak/>
        <w:t xml:space="preserve">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front-of-garage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w:t>
      </w:r>
      <w:r>
        <w:lastRenderedPageBreak/>
        <w:t>a conclusion supported by the absence of any photograph, narrative mention, or evaluation record of that window anywhere in Defendant's claim file or the appraisal record.</w:t>
      </w:r>
    </w:p>
    <w:p w14:paraId="380BF0D7" w14:textId="77777777" w:rsidR="00A86884" w:rsidRDefault="00000000">
      <w:pPr>
        <w:ind w:left="1080"/>
        <w:jc w:val="both"/>
      </w:pPr>
      <w:r>
        <w:rPr>
          <w:b/>
        </w:rPr>
        <w:t>(b) 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3D2328B2" w14:textId="77777777" w:rsidR="00A86884" w:rsidRDefault="00000000">
      <w:pPr>
        <w:tabs>
          <w:tab w:val="left" w:pos="720"/>
        </w:tabs>
        <w:ind w:left="720" w:hanging="720"/>
        <w:jc w:val="both"/>
      </w:pPr>
      <w:r>
        <w:lastRenderedPageBreak/>
        <w:t>50.</w:t>
      </w:r>
      <w:r>
        <w:tab/>
      </w:r>
      <w:r>
        <w:rPr>
          <w:b/>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rPr>
        <w:t>Quade v. Secura Insurance</w:t>
      </w:r>
      <w:r>
        <w:t>, 814 N.W.2d 703 (Minn. 2012). Any such coverage-based determination is not final or binding, and the coverage question for each such window or item is decided by the Court de novo under this Count.</w:t>
      </w:r>
    </w:p>
    <w:p w14:paraId="08DCFE2C" w14:textId="77777777" w:rsidR="00A86884" w:rsidRDefault="00000000">
      <w:pPr>
        <w:tabs>
          <w:tab w:val="left" w:pos="720"/>
        </w:tabs>
        <w:ind w:left="720" w:hanging="720"/>
        <w:jc w:val="both"/>
      </w:pPr>
      <w:r>
        <w:t>51.</w:t>
      </w:r>
      <w:r>
        <w:tab/>
      </w:r>
      <w:r>
        <w:rPr>
          <w:b/>
        </w:rPr>
        <w:t xml:space="preserve">The policy's "comparable material and quality" replacement-cost obligation is a coverage question reserved to the Court under </w:t>
      </w:r>
      <w:r>
        <w:rPr>
          <w:b/>
          <w:i/>
        </w:rPr>
        <w:t>Quade</w:t>
      </w:r>
      <w:r>
        <w:rPr>
          <w:b/>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w:t>
      </w:r>
      <w:r>
        <w:lastRenderedPageBreak/>
        <w:t xml:space="preserve">Because a matching Semco sash can no longer be sourced from the original manufacturer, replacing the damaged sashes with materials of comparable material and quality requires a match that is no longer achievable — the precise circumstance in which </w:t>
      </w:r>
      <w:r>
        <w:rPr>
          <w:i/>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210F98BB" w14:textId="77777777" w:rsidR="00A86884" w:rsidRDefault="00000000">
      <w:pPr>
        <w:tabs>
          <w:tab w:val="left" w:pos="720"/>
        </w:tabs>
        <w:ind w:left="720" w:hanging="720"/>
        <w:jc w:val="both"/>
      </w:pPr>
      <w:r>
        <w:t>52.</w:t>
      </w:r>
      <w:r>
        <w:tab/>
      </w:r>
      <w:r>
        <w:rPr>
          <w:b/>
        </w:rPr>
        <w:t>Defendant has further breached the implied covenant of good faith and fair dealing</w:t>
      </w:r>
      <w:r>
        <w:t xml:space="preserve"> by issuing the September 3, 2024 denial within five business days of the first inspection without forensic analysis;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w:t>
      </w:r>
      <w:r>
        <w:lastRenderedPageBreak/>
        <w:t>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6E6300FE" w14:textId="77777777" w:rsidR="00A86884" w:rsidRDefault="00000000">
      <w:pPr>
        <w:tabs>
          <w:tab w:val="left" w:pos="720"/>
        </w:tabs>
        <w:ind w:left="720" w:hanging="720"/>
        <w:jc w:val="both"/>
      </w:pPr>
      <w:r>
        <w:t>53.</w:t>
      </w:r>
      <w:r>
        <w:tab/>
        <w:t>As a direct and proximate result of Defendant's breach, Plaintiffs have suffered damages in excess of $50,000.</w:t>
      </w:r>
    </w:p>
    <w:p w14:paraId="6729FFEA" w14:textId="77777777" w:rsidR="00A86884" w:rsidRDefault="00000000">
      <w:pPr>
        <w:keepNext/>
        <w:spacing w:before="240" w:line="240" w:lineRule="auto"/>
        <w:jc w:val="center"/>
      </w:pPr>
      <w:r>
        <w:rPr>
          <w:b/>
          <w:sz w:val="24"/>
        </w:rPr>
        <w:t>COUNT II — DECLARATORY JUDGMENT (Minn. Stat. Ch. 555)</w:t>
      </w:r>
    </w:p>
    <w:p w14:paraId="514BA693" w14:textId="77777777" w:rsidR="00A86884" w:rsidRDefault="00000000">
      <w:pPr>
        <w:tabs>
          <w:tab w:val="left" w:pos="720"/>
        </w:tabs>
        <w:ind w:left="720" w:hanging="720"/>
        <w:jc w:val="both"/>
      </w:pPr>
      <w:r>
        <w:t>54.</w:t>
      </w:r>
      <w:r>
        <w:tab/>
        <w:t>Plaintiffs reallege and incorporate paragraphs 1 through 53 above.</w:t>
      </w:r>
    </w:p>
    <w:p w14:paraId="5E4224D3" w14:textId="77777777" w:rsidR="00A86884" w:rsidRDefault="00000000">
      <w:pPr>
        <w:tabs>
          <w:tab w:val="left" w:pos="720"/>
        </w:tabs>
        <w:ind w:left="720" w:hanging="720"/>
        <w:jc w:val="both"/>
      </w:pPr>
      <w:r>
        <w:t>55.</w:t>
      </w:r>
      <w:r>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A8BA12C" w14:textId="77777777" w:rsidR="00A86884" w:rsidRDefault="00000000">
      <w:pPr>
        <w:tabs>
          <w:tab w:val="left" w:pos="720"/>
        </w:tabs>
        <w:ind w:left="720" w:hanging="720"/>
        <w:jc w:val="both"/>
      </w:pPr>
      <w:r>
        <w:t>56.</w:t>
      </w:r>
      <w:r>
        <w:tab/>
        <w:t>Plaintiffs request a judicial declaration, pursuant to Minn. Stat. §§ 555.01–.16, that:</w:t>
      </w:r>
    </w:p>
    <w:p w14:paraId="49B2EBC0" w14:textId="77777777" w:rsidR="00A86884" w:rsidRDefault="00000000">
      <w:pPr>
        <w:ind w:left="1080"/>
        <w:jc w:val="both"/>
      </w:pPr>
      <w:r>
        <w:rPr>
          <w:b/>
        </w:rPr>
        <w:t>(a)</w:t>
      </w:r>
      <w:r>
        <w:t xml:space="preserve"> The July 13, 2024 hail loss is a covered loss under Section I (Loss or Damage Insured) of Policy 98055-49-65, subject only to the $17,720 windstorm/hail deductible.</w:t>
      </w:r>
    </w:p>
    <w:p w14:paraId="700B0BA0" w14:textId="77777777" w:rsidR="00A86884" w:rsidRDefault="00000000">
      <w:pPr>
        <w:ind w:left="1080"/>
        <w:jc w:val="both"/>
      </w:pPr>
      <w:r>
        <w:rPr>
          <w:b/>
        </w:rPr>
        <w:lastRenderedPageBreak/>
        <w:t>(b)</w:t>
      </w:r>
      <w:r>
        <w:t xml:space="preserve"> Defendant is precluded under </w:t>
      </w:r>
      <w:r>
        <w:rPr>
          <w:i/>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72C9E206" w14:textId="77777777" w:rsidR="00A86884" w:rsidRDefault="00000000">
      <w:pPr>
        <w:ind w:left="1080"/>
        <w:jc w:val="both"/>
      </w:pPr>
      <w:r>
        <w:rPr>
          <w:b/>
        </w:rPr>
        <w:t>(c)</w:t>
      </w:r>
      <w:r>
        <w:t xml:space="preserve"> The September 12, 2025 award did not resolve coverage as to hail-damaged windows the panel did not evaluate. The question of coverage and amount of loss for each such window remains a live coverage question for the Court.</w:t>
      </w:r>
    </w:p>
    <w:p w14:paraId="45F0E568" w14:textId="77777777" w:rsidR="00A86884" w:rsidRDefault="00000000">
      <w:pPr>
        <w:ind w:left="1080"/>
        <w:jc w:val="both"/>
      </w:pPr>
      <w:r>
        <w:rPr>
          <w:b/>
        </w:rPr>
        <w:t>(d)</w:t>
      </w:r>
      <w:r>
        <w:t xml:space="preserve"> 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rPr>
        <w:t>Hammer v. Investors Life Ins. Co. of N. Am.</w:t>
      </w:r>
      <w:r>
        <w:t xml:space="preserve">, 511 N.W.2d 6, 8 (Minn. 1994); </w:t>
      </w:r>
      <w:r>
        <w:rPr>
          <w:i/>
        </w:rPr>
        <w:t>Atwater Creamery Co. v. Western Nat'l Mut. Ins. Co.</w:t>
      </w:r>
      <w:r>
        <w:t>, 366 N.W.2d 271 (Minn. 1985).</w:t>
      </w:r>
    </w:p>
    <w:p w14:paraId="459DAFE8" w14:textId="77777777" w:rsidR="00A86884" w:rsidRDefault="00000000">
      <w:pPr>
        <w:ind w:left="1080"/>
        <w:jc w:val="both"/>
      </w:pPr>
      <w:r>
        <w:rPr>
          <w:b/>
        </w:rPr>
        <w:t>(e)</w:t>
      </w:r>
      <w:r>
        <w:t xml:space="preserve"> Endorsement J6944 ("Limited Matching of Undamaged Property") does not bar coverage for the cost to repair or replace windows that themselves sustained direct hail damage. Subparagraph (1) of J6944 applies, by its own </w:t>
      </w:r>
      <w:r>
        <w:lastRenderedPageBreak/>
        <w:t xml:space="preserve">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4D722B0D" w14:textId="77777777" w:rsidR="00A86884" w:rsidRDefault="00000000">
      <w:pPr>
        <w:ind w:left="1080"/>
        <w:jc w:val="both"/>
      </w:pPr>
      <w:r>
        <w:rPr>
          <w:b/>
        </w:rPr>
        <w:t>(f)</w:t>
      </w:r>
      <w:r>
        <w:t xml:space="preserve"> With respect to the windows the September 12, 2025 appraisal award evaluated, Defendant is bound by the panel's hail-causation finding and may not reassert in this action the exclusions cited in its November 4, 2024 denial as to those windows.</w:t>
      </w:r>
    </w:p>
    <w:p w14:paraId="2FEA6E69" w14:textId="77777777" w:rsidR="00A86884" w:rsidRDefault="00000000">
      <w:pPr>
        <w:ind w:left="1080"/>
        <w:jc w:val="both"/>
      </w:pPr>
      <w:r>
        <w:rPr>
          <w:b/>
        </w:rPr>
        <w:t>(g)</w:t>
      </w:r>
      <w:r>
        <w:t xml:space="preserve"> 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w:t>
      </w:r>
      <w:r>
        <w:lastRenderedPageBreak/>
        <w:t>asserting any suit-limitation period shorter than two years by the conduct described in paragraphs 28–29 above.</w:t>
      </w:r>
    </w:p>
    <w:p w14:paraId="4F9A8012" w14:textId="77777777" w:rsidR="00A86884" w:rsidRDefault="00000000">
      <w:pPr>
        <w:ind w:left="1080"/>
        <w:jc w:val="both"/>
      </w:pPr>
      <w:r>
        <w:rPr>
          <w:b/>
        </w:rPr>
        <w:t>(h)</w:t>
      </w:r>
      <w:r>
        <w:t xml:space="preserve"> 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53008C7" w14:textId="77777777" w:rsidR="00A86884" w:rsidRDefault="00000000">
      <w:pPr>
        <w:ind w:left="1080"/>
        <w:jc w:val="both"/>
      </w:pPr>
      <w:r>
        <w:rPr>
          <w:b/>
        </w:rPr>
        <w:t>(i)</w:t>
      </w:r>
      <w:r>
        <w:t xml:space="preserve"> To the extent the appraisal panel declined to award any window or item on a coverage ground — including wear and tear, any policy exclusion, or a prior-payment or offset theory — that determination exceeded the panel's authority under Minn. Stat. § 65A.01 and </w:t>
      </w:r>
      <w:r>
        <w:rPr>
          <w:i/>
        </w:rPr>
        <w:t>Quade v. Secura Insurance</w:t>
      </w:r>
      <w:r>
        <w:t>, 814 N.W.2d 703 (Minn. 2012), is not final or binding on the parties or the Court, and the coverage question for each such window or item is decided by the Court de novo.</w:t>
      </w:r>
    </w:p>
    <w:p w14:paraId="4ECDBD1E" w14:textId="77777777" w:rsidR="00A86884" w:rsidRDefault="00000000">
      <w:pPr>
        <w:tabs>
          <w:tab w:val="left" w:pos="720"/>
        </w:tabs>
        <w:ind w:left="720" w:hanging="720"/>
        <w:jc w:val="both"/>
      </w:pPr>
      <w:r>
        <w:t>57.</w:t>
      </w:r>
      <w:r>
        <w:tab/>
        <w:t>The requested declarations will substantially terminate the controversy between the parties as required by Minn. Stat. § 555.06.</w:t>
      </w:r>
    </w:p>
    <w:p w14:paraId="45DD0748" w14:textId="77777777" w:rsidR="00A86884" w:rsidRDefault="00000000">
      <w:pPr>
        <w:keepNext/>
        <w:spacing w:before="240" w:line="240" w:lineRule="auto"/>
        <w:jc w:val="center"/>
      </w:pPr>
      <w:r>
        <w:rPr>
          <w:b/>
          <w:sz w:val="24"/>
        </w:rPr>
        <w:lastRenderedPageBreak/>
        <w:t>COUNT III — NON-PRECLUSION DECLARATION REGARDING THE APPRAISAL AWARD; IN THE ALTERNATIVE, MODIFICATION OR CORRECTION; IN THE FURTHER ALTERNATIVE, REMAND FOR CLARIFICATION; IN THE FINAL ALTERNATIVE, VACATUR</w:t>
      </w:r>
    </w:p>
    <w:p w14:paraId="4B6D37C3" w14:textId="77777777" w:rsidR="00A86884" w:rsidRDefault="00000000">
      <w:pPr>
        <w:tabs>
          <w:tab w:val="left" w:pos="720"/>
        </w:tabs>
        <w:ind w:left="720" w:hanging="720"/>
        <w:jc w:val="both"/>
      </w:pPr>
      <w:r>
        <w:t>58.</w:t>
      </w:r>
      <w:r>
        <w:tab/>
        <w:t>Plaintiffs reallege and incorporate paragraphs 1 through 57 above. This Count is pleaded in the alternative under Minn. R. Civ. P. 8.05, and the Court need reach it only to the extent it treats the September 12, 2025 appraisal award as a barrier to relief under Count I.</w:t>
      </w:r>
    </w:p>
    <w:p w14:paraId="38010F2E" w14:textId="77777777" w:rsidR="00A86884" w:rsidRDefault="00000000">
      <w:pPr>
        <w:tabs>
          <w:tab w:val="left" w:pos="720"/>
        </w:tabs>
        <w:ind w:left="720" w:hanging="720"/>
        <w:jc w:val="both"/>
      </w:pPr>
      <w:r>
        <w:t>59.</w:t>
      </w:r>
      <w:r>
        <w:tab/>
        <w:t xml:space="preserve">Minn. Stat. § 65A.01, Subd. 3 requires the appraisers to "appraise the loss, stating separately actual value and loss to each item," and provides that "an award in writing, </w:t>
      </w:r>
      <w:r>
        <w:rPr>
          <w:b/>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1BB01B4C" w14:textId="77777777" w:rsidR="00A86884" w:rsidRDefault="00000000">
      <w:pPr>
        <w:tabs>
          <w:tab w:val="left" w:pos="720"/>
        </w:tabs>
        <w:ind w:left="720" w:hanging="720"/>
        <w:jc w:val="both"/>
      </w:pPr>
      <w:r>
        <w:t>60.</w:t>
      </w:r>
      <w:r>
        <w:tab/>
      </w:r>
      <w:r>
        <w:rPr>
          <w:b/>
        </w:rPr>
        <w:t>Statutory non-itemization — the $0 siding lines.</w:t>
      </w:r>
      <w:r>
        <w:t xml:space="preserve"> The September 12, 2025 award lists two siding-related items at $0 Replacement Cost Value and $0 Actual Cash Value. The award does not identify which siding observations the panel evaluated; whether the panel evaluated the documented siding penetrations photographed at A-26, A-27, A-208, and A-212; whether the panel evaluated the documented trim board chips photographed at A-53 (which the Prieve report itself acknowledges is "visible in prior photo logs from Farmers Insurance dated October 13, 2020"), A-</w:t>
      </w:r>
      <w:r>
        <w:lastRenderedPageBreak/>
        <w:t>90, and A-148; or whether the panel evaluated the documented dented flashing at A-103, A-128, and A-129. An award of $0 on items the Prieve report's own Photo Appendix A documents in its captions, without identification of any methodology, valuation basis, or even which observations the panel considered, is not the substantive appraisal of value § 65A.01, Subd. 3 contemplates.</w:t>
      </w:r>
    </w:p>
    <w:p w14:paraId="4E14064E" w14:textId="77777777" w:rsidR="00A86884" w:rsidRDefault="00000000">
      <w:pPr>
        <w:tabs>
          <w:tab w:val="left" w:pos="720"/>
        </w:tabs>
        <w:ind w:left="720" w:hanging="720"/>
        <w:jc w:val="both"/>
      </w:pPr>
      <w:r>
        <w:t>61.</w:t>
      </w:r>
      <w:r>
        <w:tab/>
      </w:r>
      <w:r>
        <w:rPr>
          <w:b/>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7142B40D" w14:textId="77777777" w:rsidR="00A86884" w:rsidRDefault="00000000">
      <w:pPr>
        <w:tabs>
          <w:tab w:val="left" w:pos="720"/>
        </w:tabs>
        <w:ind w:left="720" w:hanging="720"/>
        <w:jc w:val="both"/>
      </w:pPr>
      <w:r>
        <w:t>62.</w:t>
      </w:r>
      <w:r>
        <w:tab/>
      </w:r>
      <w:r>
        <w:rPr>
          <w:b/>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w:t>
      </w:r>
      <w:r>
        <w:lastRenderedPageBreak/>
        <w:t xml:space="preserve">the award remains binding on Defendant as far as it went, including the panel's hail-causation finding for the awarded windows under </w:t>
      </w:r>
      <w:r>
        <w:rPr>
          <w:i/>
        </w:rPr>
        <w:t>Quade v. Secura Insurance</w:t>
      </w:r>
      <w:r>
        <w:t>, 814 N.W.2d 703 (Minn. 2012). Plaintiffs do not contend the award is void; they contend it is a partial determination that binds as to what it itemized and decided, and is non-preclusive as to everything it did not.</w:t>
      </w:r>
    </w:p>
    <w:p w14:paraId="27024F22" w14:textId="77777777" w:rsidR="00A86884" w:rsidRDefault="00000000">
      <w:pPr>
        <w:tabs>
          <w:tab w:val="left" w:pos="720"/>
        </w:tabs>
        <w:ind w:left="720" w:hanging="720"/>
        <w:jc w:val="both"/>
      </w:pPr>
      <w:r>
        <w:t>63.</w:t>
      </w:r>
      <w:r>
        <w:tab/>
      </w:r>
      <w:r>
        <w:rPr>
          <w:b/>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1EA2A14C" w14:textId="77777777" w:rsidR="00A86884" w:rsidRDefault="00000000">
      <w:pPr>
        <w:tabs>
          <w:tab w:val="left" w:pos="720"/>
        </w:tabs>
        <w:ind w:left="720" w:hanging="720"/>
        <w:jc w:val="both"/>
      </w:pPr>
      <w:r>
        <w:t>64.</w:t>
      </w:r>
      <w:r>
        <w:tab/>
      </w:r>
      <w:r>
        <w:rPr>
          <w:b/>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rPr>
        <w:t>Herll v. Auto-Owners Insurance Co.</w:t>
      </w:r>
      <w:r>
        <w:t xml:space="preserve">, 879 F.3d 293 (8th Cir. 2018), and </w:t>
      </w:r>
      <w:r>
        <w:rPr>
          <w:i/>
        </w:rPr>
        <w:t>Cincinnati Insurance Co. v. Rymer Cos.</w:t>
      </w:r>
      <w:r>
        <w:t>, No. 24-3356 (8th Cir. Mar. 27, 2026). Any remand order should require the panel to:</w:t>
      </w:r>
    </w:p>
    <w:p w14:paraId="6012A132" w14:textId="77777777" w:rsidR="00A86884" w:rsidRDefault="00000000">
      <w:pPr>
        <w:ind w:left="1080"/>
        <w:jc w:val="both"/>
      </w:pPr>
      <w:r>
        <w:t>(a) identify each window or item within the scope of the panel's evaluation by location, elevation, sash count, and manufacturer stamp;</w:t>
      </w:r>
    </w:p>
    <w:p w14:paraId="45BEEB08" w14:textId="77777777" w:rsidR="00A86884" w:rsidRDefault="00000000">
      <w:pPr>
        <w:ind w:left="1080"/>
        <w:jc w:val="both"/>
      </w:pPr>
      <w:r>
        <w:t>(b) state separately the actual cash value and replacement cost value attributable to each such window or item, and, for any multi-sash window, to each sash;</w:t>
      </w:r>
    </w:p>
    <w:p w14:paraId="484B7303" w14:textId="77777777" w:rsidR="00A86884" w:rsidRDefault="00000000">
      <w:pPr>
        <w:ind w:left="1080"/>
        <w:jc w:val="both"/>
      </w:pPr>
      <w:r>
        <w:lastRenderedPageBreak/>
        <w:t>(c) identify any window or item Plaintiffs submitted for appraisal that the panel did not evaluate, with a brief statement of the reason;</w:t>
      </w:r>
    </w:p>
    <w:p w14:paraId="11882384" w14:textId="77777777" w:rsidR="00A86884" w:rsidRDefault="00000000">
      <w:pPr>
        <w:ind w:left="1080"/>
        <w:jc w:val="both"/>
      </w:pPr>
      <w:r>
        <w:t>(d) 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2EC7483C" w14:textId="77777777" w:rsidR="00A86884" w:rsidRDefault="00000000">
      <w:pPr>
        <w:ind w:left="1080"/>
        <w:jc w:val="both"/>
      </w:pPr>
      <w:r>
        <w:t>(e) 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2E2AF200" w14:textId="77777777" w:rsidR="00A86884" w:rsidRDefault="00000000">
      <w:pPr>
        <w:tabs>
          <w:tab w:val="left" w:pos="720"/>
        </w:tabs>
        <w:ind w:left="720" w:hanging="720"/>
        <w:jc w:val="both"/>
      </w:pPr>
      <w:r>
        <w:lastRenderedPageBreak/>
        <w:t>65.</w:t>
      </w:r>
      <w:r>
        <w:tab/>
      </w:r>
      <w:r>
        <w:rPr>
          <w:b/>
        </w:rPr>
        <w:t>Final alternative — vacatur.</w:t>
      </w:r>
      <w:r>
        <w:t xml:space="preserve"> Only to the extent the foregoing relief is unavailable or insufficient, Plaintiffs request that the Court vacate the award under </w:t>
      </w:r>
      <w:r>
        <w:rPr>
          <w:i/>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Plaintiffs were not permitted to communicate with any member of the panel; and such further grounds as discovery may establish.</w:t>
      </w:r>
    </w:p>
    <w:p w14:paraId="4092B96D" w14:textId="77777777" w:rsidR="00A86884" w:rsidRDefault="00000000">
      <w:pPr>
        <w:keepNext/>
        <w:spacing w:before="240" w:line="240" w:lineRule="auto"/>
        <w:jc w:val="center"/>
      </w:pPr>
      <w:r>
        <w:rPr>
          <w:b/>
          <w:sz w:val="24"/>
        </w:rPr>
        <w:t>COUNT IV — MINNESOTA CONSUMER FRAUD ACT (Minn. Stat. § 325F.69, enforced through Minn. Stat. § 325F.70 and § 8.31, Subd. 3a)</w:t>
      </w:r>
    </w:p>
    <w:p w14:paraId="57E052C1" w14:textId="77777777" w:rsidR="00A86884" w:rsidRDefault="00000000">
      <w:pPr>
        <w:tabs>
          <w:tab w:val="left" w:pos="720"/>
        </w:tabs>
        <w:ind w:left="720" w:hanging="720"/>
        <w:jc w:val="both"/>
      </w:pPr>
      <w:r>
        <w:t>66.</w:t>
      </w:r>
      <w:r>
        <w:tab/>
        <w:t>Plaintiffs reallege and incorporate paragraphs 1 through 65 above.</w:t>
      </w:r>
    </w:p>
    <w:p w14:paraId="53D38CE1" w14:textId="77777777" w:rsidR="00A86884" w:rsidRDefault="00000000">
      <w:pPr>
        <w:tabs>
          <w:tab w:val="left" w:pos="720"/>
        </w:tabs>
        <w:ind w:left="720" w:hanging="720"/>
        <w:jc w:val="both"/>
      </w:pPr>
      <w:r>
        <w:t>67.</w:t>
      </w:r>
      <w:r>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5D07A9D" w14:textId="77777777" w:rsidR="00A86884" w:rsidRDefault="00000000">
      <w:pPr>
        <w:tabs>
          <w:tab w:val="left" w:pos="720"/>
        </w:tabs>
        <w:ind w:left="720" w:hanging="720"/>
        <w:jc w:val="both"/>
      </w:pPr>
      <w:r>
        <w:t>68.</w:t>
      </w:r>
      <w:r>
        <w:tab/>
        <w:t>The prohibited conduct includes, without limitation:</w:t>
      </w:r>
    </w:p>
    <w:p w14:paraId="59FCC1EF" w14:textId="77777777" w:rsidR="00A86884" w:rsidRDefault="00000000">
      <w:pPr>
        <w:ind w:left="1080"/>
        <w:jc w:val="both"/>
      </w:pPr>
      <w:r>
        <w:t>a. The September 3, 2024 written denial's representation that "no other damages [were] observed" on the home, despite the contrary observations of Defendant's own adjuster three days later;</w:t>
      </w:r>
    </w:p>
    <w:p w14:paraId="50A8D30D" w14:textId="77777777" w:rsidR="00A86884" w:rsidRDefault="00000000">
      <w:pPr>
        <w:ind w:left="1080"/>
        <w:jc w:val="both"/>
      </w:pPr>
      <w:r>
        <w:lastRenderedPageBreak/>
        <w:t>b. 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77B582C5" w14:textId="77777777" w:rsidR="00A86884" w:rsidRDefault="00000000">
      <w:pPr>
        <w:ind w:left="1080"/>
        <w:jc w:val="both"/>
      </w:pPr>
      <w:r>
        <w:t>c. The supervisor- and adjuster-level imposition in February 2025 of an "engineer's report only" evidentiary gate found nowhere in Policy 98055-49-65, used to reject Plaintiffs' supplemental evidence without review;</w:t>
      </w:r>
    </w:p>
    <w:p w14:paraId="0966B2BC" w14:textId="77777777" w:rsidR="00A86884" w:rsidRDefault="00000000">
      <w:pPr>
        <w:ind w:left="1080"/>
        <w:jc w:val="both"/>
      </w:pPr>
      <w:r>
        <w:t>d. The September 18, 2025, September 19, 2025, and October 14, 2025 mutually inconsistent written descriptions of the September 12, 2025 award's scope;</w:t>
      </w:r>
    </w:p>
    <w:p w14:paraId="43E390D1" w14:textId="77777777" w:rsidR="00A86884" w:rsidRDefault="00000000">
      <w:pPr>
        <w:ind w:left="1080"/>
        <w:jc w:val="both"/>
      </w:pPr>
      <w:r>
        <w:t>e. 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0C377673" w14:textId="77777777" w:rsidR="00A86884" w:rsidRDefault="00000000">
      <w:pPr>
        <w:ind w:left="1080"/>
        <w:jc w:val="both"/>
      </w:pPr>
      <w:r>
        <w:t>f. The September 19, 2025 attribution of the entire front dining-room window's damage to "the prior claim," when, on information and belief, only one of that three-sash window's sashes was within the 2020 claim payment;</w:t>
      </w:r>
    </w:p>
    <w:p w14:paraId="46C7C90F" w14:textId="77777777" w:rsidR="00A86884" w:rsidRDefault="00000000">
      <w:pPr>
        <w:ind w:left="1080"/>
        <w:jc w:val="both"/>
      </w:pPr>
      <w:r>
        <w:lastRenderedPageBreak/>
        <w:t>g. 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79790F86" w14:textId="77777777" w:rsidR="00A86884" w:rsidRDefault="00000000">
      <w:pPr>
        <w:ind w:left="1080"/>
        <w:jc w:val="both"/>
      </w:pPr>
      <w:r>
        <w:t>h. 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34558808" w14:textId="77777777" w:rsidR="00A86884" w:rsidRDefault="00000000">
      <w:pPr>
        <w:tabs>
          <w:tab w:val="left" w:pos="720"/>
        </w:tabs>
        <w:ind w:left="720" w:hanging="720"/>
        <w:jc w:val="both"/>
      </w:pPr>
      <w:r>
        <w:t>69.</w:t>
      </w:r>
      <w:r>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rPr>
        <w:t>Force v. ITT Hartford Life &amp; Annuity Ins. Co.</w:t>
      </w:r>
      <w:r>
        <w:t>, 4 F. Supp. 2d 843, 858 (D. Minn. 1998).</w:t>
      </w:r>
    </w:p>
    <w:p w14:paraId="50507A97" w14:textId="77777777" w:rsidR="00A86884" w:rsidRDefault="00000000">
      <w:pPr>
        <w:tabs>
          <w:tab w:val="left" w:pos="720"/>
        </w:tabs>
        <w:ind w:left="720" w:hanging="720"/>
        <w:jc w:val="both"/>
      </w:pPr>
      <w:r>
        <w:t>70.</w:t>
      </w:r>
      <w:r>
        <w:tab/>
      </w:r>
      <w:r>
        <w:rPr>
          <w:b/>
        </w:rPr>
        <w:t>Causal nexus and damages.</w:t>
      </w:r>
      <w:r>
        <w:t xml:space="preserve"> Pursuant to the causal-nexus standard of </w:t>
      </w:r>
      <w:r>
        <w:rPr>
          <w:i/>
        </w:rPr>
        <w:t>Wiegand v. Walser Automotive Groups, Inc.</w:t>
      </w:r>
      <w:r>
        <w:t xml:space="preserve">, 683 N.W.2d 807, 813 (Minn. 2004), and </w:t>
      </w:r>
      <w:r>
        <w:rPr>
          <w:i/>
        </w:rPr>
        <w:t xml:space="preserve">Group </w:t>
      </w:r>
      <w:r>
        <w:rPr>
          <w:i/>
        </w:rPr>
        <w:lastRenderedPageBreak/>
        <w:t>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3A7BCAF9" w14:textId="77777777" w:rsidR="00A86884" w:rsidRDefault="00000000">
      <w:pPr>
        <w:tabs>
          <w:tab w:val="left" w:pos="720"/>
        </w:tabs>
        <w:ind w:left="720" w:hanging="720"/>
        <w:jc w:val="both"/>
      </w:pPr>
      <w:r>
        <w:t>71.</w:t>
      </w:r>
      <w:r>
        <w:tab/>
      </w:r>
      <w:r>
        <w:rPr>
          <w:b/>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w:t>
      </w:r>
      <w:r>
        <w:lastRenderedPageBreak/>
        <w:t>— reflects institutional claim-handling practices affecting numerous Minnesota homeowners insured by Defendant under similar policies.</w:t>
      </w:r>
    </w:p>
    <w:p w14:paraId="3A267D50" w14:textId="77777777" w:rsidR="00A86884" w:rsidRDefault="00000000">
      <w:pPr>
        <w:tabs>
          <w:tab w:val="left" w:pos="720"/>
        </w:tabs>
        <w:ind w:left="720" w:hanging="720"/>
        <w:jc w:val="both"/>
      </w:pPr>
      <w:r>
        <w:t>72.</w:t>
      </w:r>
      <w:r>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1A22B25" w14:textId="77777777" w:rsidR="00A86884" w:rsidRDefault="00000000">
      <w:pPr>
        <w:keepNext/>
        <w:spacing w:before="280" w:line="240" w:lineRule="auto"/>
        <w:jc w:val="center"/>
      </w:pPr>
      <w:r>
        <w:rPr>
          <w:b/>
        </w:rPr>
        <w:t>VII. PRAYER FOR RELIEF</w:t>
      </w:r>
    </w:p>
    <w:p w14:paraId="755E1669" w14:textId="77777777" w:rsidR="00A86884" w:rsidRDefault="00000000">
      <w:pPr>
        <w:jc w:val="both"/>
      </w:pPr>
      <w:r>
        <w:t>WHEREFORE, Plaintiffs respectfully request that the Court enter judgment in their favor and against Defendant Fire Insurance Exchange and award:</w:t>
      </w:r>
    </w:p>
    <w:p w14:paraId="358EB09B" w14:textId="77777777" w:rsidR="00A86884" w:rsidRDefault="00000000">
      <w:pPr>
        <w:tabs>
          <w:tab w:val="left" w:pos="720"/>
        </w:tabs>
        <w:ind w:left="720" w:hanging="720"/>
        <w:jc w:val="both"/>
      </w:pPr>
      <w:r>
        <w:t>A.</w:t>
      </w:r>
      <w:r>
        <w:tab/>
      </w:r>
      <w:r>
        <w:rPr>
          <w:b/>
        </w:rPr>
        <w:t>On Count I (Breach of Contract):</w:t>
      </w:r>
      <w:r>
        <w:t xml:space="preserve"> Compensatory damages in excess of $50,000, in an amount to be proven at trial.</w:t>
      </w:r>
    </w:p>
    <w:p w14:paraId="3E1A0AE4" w14:textId="77777777" w:rsidR="00A86884" w:rsidRDefault="00000000">
      <w:pPr>
        <w:tabs>
          <w:tab w:val="left" w:pos="720"/>
        </w:tabs>
        <w:ind w:left="720" w:hanging="720"/>
        <w:jc w:val="both"/>
      </w:pPr>
      <w:r>
        <w:t>B.</w:t>
      </w:r>
      <w:r>
        <w:tab/>
      </w:r>
      <w:r>
        <w:rPr>
          <w:b/>
        </w:rPr>
        <w:t>On Count II (Declaratory Judgment):</w:t>
      </w:r>
      <w:r>
        <w:t xml:space="preserve"> A declaratory judgment in the form set forth in paragraph 56 above, together with such supplemental relief as is necessary or proper under Minn. Stat. § 555.08.</w:t>
      </w:r>
    </w:p>
    <w:p w14:paraId="0820ABD7" w14:textId="77777777" w:rsidR="00A86884" w:rsidRDefault="00000000">
      <w:pPr>
        <w:tabs>
          <w:tab w:val="left" w:pos="720"/>
        </w:tabs>
        <w:ind w:left="720" w:hanging="720"/>
        <w:jc w:val="both"/>
      </w:pPr>
      <w:r>
        <w:t>C.</w:t>
      </w:r>
      <w:r>
        <w:tab/>
      </w:r>
      <w:r>
        <w:rPr>
          <w:b/>
        </w:rPr>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w:t>
      </w:r>
      <w:r>
        <w:lastRenderedPageBreak/>
        <w:t xml:space="preserve">Subd. 3; or, in the further alternative, an order remanding the award to the appraisal panel for clarification under </w:t>
      </w:r>
      <w:r>
        <w:rPr>
          <w:i/>
        </w:rPr>
        <w:t>Herll v. Auto-Owners Insurance Co.</w:t>
      </w:r>
      <w:r>
        <w:t xml:space="preserve"> and </w:t>
      </w:r>
      <w:r>
        <w:rPr>
          <w:i/>
        </w:rPr>
        <w:t>Cincinnati Insurance Co. v. Rymer Cos.</w:t>
      </w:r>
      <w:r>
        <w:t xml:space="preserve"> in the form set forth in paragraph 64 above; or, in the final alternative, an order vacating the award under </w:t>
      </w:r>
      <w:r>
        <w:rPr>
          <w:i/>
        </w:rPr>
        <w:t>Mork v. Eureka-Security Fire &amp; Marine Insurance Co.</w:t>
      </w:r>
    </w:p>
    <w:p w14:paraId="686D16DE" w14:textId="77777777" w:rsidR="00A86884" w:rsidRDefault="00000000">
      <w:pPr>
        <w:tabs>
          <w:tab w:val="left" w:pos="720"/>
        </w:tabs>
        <w:ind w:left="720" w:hanging="720"/>
        <w:jc w:val="both"/>
      </w:pPr>
      <w:r>
        <w:t>D.</w:t>
      </w:r>
      <w:r>
        <w:tab/>
      </w:r>
      <w:r>
        <w:rPr>
          <w:b/>
        </w:rPr>
        <w:t>On Count IV (Minnesota Consumer Fraud Act):</w:t>
      </w:r>
      <w:r>
        <w:t xml:space="preserve"> Compensatory damages, costs and disbursements (including costs of investigation), and reasonable attorney fees pursuant to Minn. Stat. § 325F.70 and, in the alternative, Minn. Stat. § 8.31, Subd. 3a.</w:t>
      </w:r>
    </w:p>
    <w:p w14:paraId="3C133298" w14:textId="77777777" w:rsidR="00A86884" w:rsidRDefault="00000000">
      <w:pPr>
        <w:tabs>
          <w:tab w:val="left" w:pos="720"/>
        </w:tabs>
        <w:ind w:left="720" w:hanging="720"/>
        <w:jc w:val="both"/>
      </w:pPr>
      <w:r>
        <w:t>E.</w:t>
      </w:r>
      <w:r>
        <w:tab/>
      </w:r>
      <w:r>
        <w:rPr>
          <w:b/>
        </w:rPr>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rPr>
        <w:t>See Poehler v. Cincinnati Insurance Co.</w:t>
      </w:r>
      <w:r>
        <w:t>, 899 N.W.2d 135 (Minn. 2017).</w:t>
      </w:r>
    </w:p>
    <w:p w14:paraId="4788B2EE" w14:textId="77777777" w:rsidR="00A86884" w:rsidRDefault="00000000">
      <w:pPr>
        <w:tabs>
          <w:tab w:val="left" w:pos="720"/>
        </w:tabs>
        <w:ind w:left="720" w:hanging="720"/>
        <w:jc w:val="both"/>
      </w:pPr>
      <w:r>
        <w:t>F.</w:t>
      </w:r>
      <w:r>
        <w:tab/>
      </w:r>
      <w:r>
        <w:rPr>
          <w:b/>
        </w:rPr>
        <w:t>Postjudgment interest</w:t>
      </w:r>
      <w:r>
        <w:t xml:space="preserve"> under Minn. Stat. § 549.09, Subd. 1(a).</w:t>
      </w:r>
    </w:p>
    <w:p w14:paraId="624539C3" w14:textId="77777777" w:rsidR="00A86884" w:rsidRDefault="00000000">
      <w:pPr>
        <w:tabs>
          <w:tab w:val="left" w:pos="720"/>
        </w:tabs>
        <w:ind w:left="720" w:hanging="720"/>
        <w:jc w:val="both"/>
      </w:pPr>
      <w:r>
        <w:t>G.</w:t>
      </w:r>
      <w:r>
        <w:tab/>
      </w:r>
      <w:r>
        <w:rPr>
          <w:b/>
        </w:rPr>
        <w:t>Costs and disbursements</w:t>
      </w:r>
      <w:r>
        <w:t xml:space="preserve"> under Minn. Stat. §§ 549.02 and 549.04.</w:t>
      </w:r>
    </w:p>
    <w:p w14:paraId="14C5DDDC" w14:textId="77777777" w:rsidR="00A86884" w:rsidRDefault="00000000">
      <w:pPr>
        <w:tabs>
          <w:tab w:val="left" w:pos="720"/>
        </w:tabs>
        <w:ind w:left="720" w:hanging="720"/>
        <w:jc w:val="both"/>
      </w:pPr>
      <w:r>
        <w:t>H.</w:t>
      </w:r>
      <w:r>
        <w:tab/>
      </w:r>
      <w:r>
        <w:rPr>
          <w:b/>
        </w:rPr>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05DD099B" w14:textId="77777777" w:rsidR="00A86884" w:rsidRDefault="00000000">
      <w:pPr>
        <w:keepNext/>
        <w:spacing w:before="280" w:line="240" w:lineRule="auto"/>
        <w:jc w:val="center"/>
      </w:pPr>
      <w:r>
        <w:rPr>
          <w:b/>
        </w:rPr>
        <w:lastRenderedPageBreak/>
        <w:t>VIII. DEMAND FOR JURY TRIAL</w:t>
      </w:r>
    </w:p>
    <w:p w14:paraId="0BC63A21" w14:textId="77777777" w:rsidR="00A86884" w:rsidRDefault="00000000">
      <w:pPr>
        <w:jc w:val="both"/>
      </w:pPr>
      <w:r>
        <w:t>Plaintiffs demand a trial by jury on all issues so triable.</w:t>
      </w:r>
    </w:p>
    <w:p w14:paraId="4EB0CE04" w14:textId="77777777" w:rsidR="00A86884" w:rsidRDefault="00000000">
      <w:pPr>
        <w:keepNext/>
        <w:spacing w:before="280" w:line="240" w:lineRule="auto"/>
        <w:jc w:val="center"/>
      </w:pPr>
      <w:r>
        <w:rPr>
          <w:b/>
        </w:rPr>
        <w:t>IX. SIGNATURE</w:t>
      </w:r>
    </w:p>
    <w:p w14:paraId="6FDC5AF9" w14:textId="77777777" w:rsidR="00A86884" w:rsidRDefault="00000000">
      <w:pPr>
        <w:spacing w:after="0" w:line="240" w:lineRule="auto"/>
      </w:pPr>
      <w:r>
        <w:t>Dated: __________________, 2026.</w:t>
      </w:r>
    </w:p>
    <w:p w14:paraId="739AF565" w14:textId="77777777" w:rsidR="00A86884" w:rsidRDefault="00A86884">
      <w:pPr>
        <w:spacing w:after="0" w:line="240" w:lineRule="auto"/>
      </w:pPr>
    </w:p>
    <w:p w14:paraId="1AC515F6" w14:textId="77777777" w:rsidR="00A86884" w:rsidRDefault="00A86884">
      <w:pPr>
        <w:spacing w:after="0" w:line="240" w:lineRule="auto"/>
      </w:pPr>
    </w:p>
    <w:p w14:paraId="15E831FF" w14:textId="77777777" w:rsidR="00A86884" w:rsidRDefault="00000000">
      <w:pPr>
        <w:spacing w:after="0" w:line="240" w:lineRule="auto"/>
      </w:pPr>
      <w:r>
        <w:t>____________________________________</w:t>
      </w:r>
    </w:p>
    <w:p w14:paraId="07D2BCE3" w14:textId="77777777" w:rsidR="00A86884" w:rsidRDefault="00000000">
      <w:pPr>
        <w:spacing w:after="0" w:line="240" w:lineRule="auto"/>
      </w:pPr>
      <w:r>
        <w:t>Yibiao Lu, Plaintiff pro se</w:t>
      </w:r>
    </w:p>
    <w:p w14:paraId="3AA4FB40" w14:textId="77777777" w:rsidR="00A86884" w:rsidRDefault="00000000">
      <w:pPr>
        <w:spacing w:after="0" w:line="240" w:lineRule="auto"/>
      </w:pPr>
      <w:r>
        <w:t>17756 George Moran Dr.</w:t>
      </w:r>
    </w:p>
    <w:p w14:paraId="66479539" w14:textId="77777777" w:rsidR="00A86884" w:rsidRDefault="00000000">
      <w:pPr>
        <w:spacing w:after="0" w:line="240" w:lineRule="auto"/>
      </w:pPr>
      <w:r>
        <w:t>Eden Prairie, MN 55347</w:t>
      </w:r>
    </w:p>
    <w:p w14:paraId="633496C7" w14:textId="77777777" w:rsidR="00A86884" w:rsidRDefault="00000000">
      <w:pPr>
        <w:spacing w:after="0" w:line="240" w:lineRule="auto"/>
      </w:pPr>
      <w:r>
        <w:t>[phone] | [email]</w:t>
      </w:r>
    </w:p>
    <w:p w14:paraId="73893FC9" w14:textId="77777777" w:rsidR="00A86884" w:rsidRDefault="00A86884">
      <w:pPr>
        <w:spacing w:after="0" w:line="240" w:lineRule="auto"/>
      </w:pPr>
    </w:p>
    <w:p w14:paraId="7360E6A5" w14:textId="77777777" w:rsidR="00A86884" w:rsidRDefault="00A86884">
      <w:pPr>
        <w:spacing w:after="0" w:line="240" w:lineRule="auto"/>
      </w:pPr>
    </w:p>
    <w:p w14:paraId="677D460B" w14:textId="77777777" w:rsidR="00A86884" w:rsidRDefault="00000000">
      <w:pPr>
        <w:spacing w:after="0" w:line="240" w:lineRule="auto"/>
      </w:pPr>
      <w:r>
        <w:t>____________________________________</w:t>
      </w:r>
    </w:p>
    <w:p w14:paraId="4BF508CF" w14:textId="77777777" w:rsidR="00A86884" w:rsidRDefault="00000000">
      <w:pPr>
        <w:spacing w:after="0" w:line="240" w:lineRule="auto"/>
      </w:pPr>
      <w:r>
        <w:t>Jie Hu, Plaintiff pro se</w:t>
      </w:r>
    </w:p>
    <w:p w14:paraId="125FCDDC" w14:textId="77777777" w:rsidR="00A86884" w:rsidRDefault="00000000">
      <w:pPr>
        <w:spacing w:after="0" w:line="240" w:lineRule="auto"/>
      </w:pPr>
      <w:r>
        <w:t>17756 George Moran Dr.</w:t>
      </w:r>
    </w:p>
    <w:p w14:paraId="0069308A" w14:textId="77777777" w:rsidR="00A86884" w:rsidRDefault="00000000">
      <w:pPr>
        <w:spacing w:after="0" w:line="240" w:lineRule="auto"/>
      </w:pPr>
      <w:r>
        <w:t>Eden Prairie, MN 55347</w:t>
      </w:r>
    </w:p>
    <w:p w14:paraId="5E77D9C6" w14:textId="77777777" w:rsidR="00A86884" w:rsidRDefault="00000000">
      <w:pPr>
        <w:spacing w:after="0" w:line="240" w:lineRule="auto"/>
      </w:pPr>
      <w:r>
        <w:t>[phone] | [email]</w:t>
      </w:r>
    </w:p>
    <w:p w14:paraId="36EA7140" w14:textId="77777777" w:rsidR="00A86884" w:rsidRDefault="00000000">
      <w:pPr>
        <w:jc w:val="both"/>
      </w:pPr>
      <w:r>
        <w:rPr>
          <w:i/>
        </w:rPr>
        <w:t>Both Plaintiffs sign. Under Minn. R. Civ. P. 11, each signing party certifies that the factual allegations have evidentiary support (or are specifically identified as made on information and belief) after reasonable inquiry.</w:t>
      </w:r>
    </w:p>
    <w:sectPr w:rsidR="00A86884"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24AA4" w14:textId="77777777" w:rsidR="007D56F5" w:rsidRDefault="007D56F5">
      <w:pPr>
        <w:spacing w:after="0" w:line="240" w:lineRule="auto"/>
      </w:pPr>
      <w:r>
        <w:separator/>
      </w:r>
    </w:p>
  </w:endnote>
  <w:endnote w:type="continuationSeparator" w:id="0">
    <w:p w14:paraId="4826F644" w14:textId="77777777" w:rsidR="007D56F5" w:rsidRDefault="007D56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92DC2" w14:textId="77777777" w:rsidR="00A86884" w:rsidRDefault="00000000">
    <w:pPr>
      <w:pStyle w:val="Footer"/>
      <w:jc w:val="center"/>
    </w:pPr>
    <w:r>
      <w:rPr>
        <w:sz w:val="20"/>
      </w:rPr>
      <w:fldChar w:fldCharType="begin"/>
    </w:r>
    <w:r>
      <w:rPr>
        <w:sz w:val="20"/>
      </w:rPr>
      <w:instrText>PAGE</w:instrText>
    </w:r>
    <w:r w:rsidR="00527FA2">
      <w:rPr>
        <w:sz w:val="20"/>
      </w:rPr>
      <w:fldChar w:fldCharType="separate"/>
    </w:r>
    <w:r w:rsidR="00527FA2">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CCA0C" w14:textId="77777777" w:rsidR="007D56F5" w:rsidRDefault="007D56F5">
      <w:pPr>
        <w:spacing w:after="0" w:line="240" w:lineRule="auto"/>
      </w:pPr>
      <w:r>
        <w:separator/>
      </w:r>
    </w:p>
  </w:footnote>
  <w:footnote w:type="continuationSeparator" w:id="0">
    <w:p w14:paraId="458D7F5D" w14:textId="77777777" w:rsidR="007D56F5" w:rsidRDefault="007D56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1706467">
    <w:abstractNumId w:val="8"/>
  </w:num>
  <w:num w:numId="2" w16cid:durableId="1689019935">
    <w:abstractNumId w:val="6"/>
  </w:num>
  <w:num w:numId="3" w16cid:durableId="1821532526">
    <w:abstractNumId w:val="5"/>
  </w:num>
  <w:num w:numId="4" w16cid:durableId="1681153607">
    <w:abstractNumId w:val="4"/>
  </w:num>
  <w:num w:numId="5" w16cid:durableId="303584352">
    <w:abstractNumId w:val="7"/>
  </w:num>
  <w:num w:numId="6" w16cid:durableId="1670788127">
    <w:abstractNumId w:val="3"/>
  </w:num>
  <w:num w:numId="7" w16cid:durableId="1405488757">
    <w:abstractNumId w:val="2"/>
  </w:num>
  <w:num w:numId="8" w16cid:durableId="618075176">
    <w:abstractNumId w:val="1"/>
  </w:num>
  <w:num w:numId="9" w16cid:durableId="1721512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7FA2"/>
    <w:rsid w:val="007D56F5"/>
    <w:rsid w:val="00A86884"/>
    <w:rsid w:val="00AA1D8D"/>
    <w:rsid w:val="00B47730"/>
    <w:rsid w:val="00C71B3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26C37A"/>
  <w14:defaultImageDpi w14:val="300"/>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48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42</Pages>
  <Words>9437</Words>
  <Characters>51624</Characters>
  <Application>Microsoft Office Word</Application>
  <DocSecurity>0</DocSecurity>
  <Lines>890</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 Bill</cp:lastModifiedBy>
  <cp:revision>2</cp:revision>
  <dcterms:created xsi:type="dcterms:W3CDTF">2013-12-23T23:15:00Z</dcterms:created>
  <dcterms:modified xsi:type="dcterms:W3CDTF">2026-06-21T13:45:00Z</dcterms:modified>
  <cp:category/>
</cp:coreProperties>
</file>