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6C3C9" w14:textId="77777777" w:rsidR="0045722E" w:rsidRDefault="0045722E"/>
    <w:p w14:paraId="54251313" w14:textId="77777777" w:rsidR="0045722E" w:rsidRPr="0045722E" w:rsidRDefault="0045722E" w:rsidP="0045722E">
      <w:pPr>
        <w:spacing w:before="360" w:after="240" w:line="240" w:lineRule="auto"/>
        <w:outlineLvl w:val="1"/>
        <w:rPr>
          <w:rFonts w:ascii="Segoe UI" w:eastAsia="Times New Roman" w:hAnsi="Segoe UI" w:cs="Segoe UI"/>
          <w:b/>
          <w:bCs/>
          <w:color w:val="000000"/>
          <w:kern w:val="0"/>
          <w:sz w:val="36"/>
          <w:szCs w:val="36"/>
          <w14:ligatures w14:val="none"/>
        </w:rPr>
      </w:pPr>
      <w:r w:rsidRPr="0045722E">
        <w:rPr>
          <w:rFonts w:ascii="Segoe UI" w:eastAsia="Times New Roman" w:hAnsi="Segoe UI" w:cs="Segoe UI"/>
          <w:b/>
          <w:bCs/>
          <w:color w:val="000000"/>
          <w:kern w:val="0"/>
          <w:sz w:val="36"/>
          <w:szCs w:val="36"/>
          <w14:ligatures w14:val="none"/>
        </w:rPr>
        <w:t>DISCOVERY PLAN (MINN. R. CIV. P. 26.06)</w:t>
      </w:r>
    </w:p>
    <w:p w14:paraId="2D59A056" w14:textId="77777777" w:rsidR="0045722E" w:rsidRPr="0045722E" w:rsidRDefault="0045722E" w:rsidP="0045722E">
      <w:pPr>
        <w:spacing w:before="360" w:after="240" w:line="240" w:lineRule="auto"/>
        <w:outlineLvl w:val="2"/>
        <w:rPr>
          <w:rFonts w:ascii="Segoe UI" w:eastAsia="Times New Roman" w:hAnsi="Segoe UI" w:cs="Segoe UI"/>
          <w:b/>
          <w:bCs/>
          <w:color w:val="000000"/>
          <w:kern w:val="0"/>
          <w:sz w:val="30"/>
          <w:szCs w:val="30"/>
          <w14:ligatures w14:val="none"/>
        </w:rPr>
      </w:pPr>
      <w:r w:rsidRPr="0045722E">
        <w:rPr>
          <w:rFonts w:ascii="Segoe UI" w:eastAsia="Times New Roman" w:hAnsi="Segoe UI" w:cs="Segoe UI"/>
          <w:b/>
          <w:bCs/>
          <w:color w:val="000000"/>
          <w:kern w:val="0"/>
          <w:sz w:val="30"/>
          <w:szCs w:val="30"/>
          <w14:ligatures w14:val="none"/>
        </w:rPr>
        <w:t>A. Rule 26.06(a) Conference and Rule 26.01 Initial Disclosures</w:t>
      </w:r>
    </w:p>
    <w:p w14:paraId="6268D450" w14:textId="77777777" w:rsidR="0045722E" w:rsidRPr="0045722E" w:rsidRDefault="0045722E" w:rsidP="0045722E">
      <w:pPr>
        <w:numPr>
          <w:ilvl w:val="0"/>
          <w:numId w:val="1"/>
        </w:num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 xml:space="preserve">The parties have scheduled the Rule 26.06(a) discovery conference for August 28, 2026 — within 30 days after the July 29, </w:t>
      </w:r>
      <w:proofErr w:type="gramStart"/>
      <w:r w:rsidRPr="0045722E">
        <w:rPr>
          <w:rFonts w:ascii="Segoe UI" w:eastAsia="Times New Roman" w:hAnsi="Segoe UI" w:cs="Segoe UI"/>
          <w:color w:val="000000"/>
          <w:kern w:val="0"/>
          <w:sz w:val="21"/>
          <w:szCs w:val="21"/>
          <w14:ligatures w14:val="none"/>
        </w:rPr>
        <w:t>2026</w:t>
      </w:r>
      <w:proofErr w:type="gramEnd"/>
      <w:r w:rsidRPr="0045722E">
        <w:rPr>
          <w:rFonts w:ascii="Segoe UI" w:eastAsia="Times New Roman" w:hAnsi="Segoe UI" w:cs="Segoe UI"/>
          <w:color w:val="000000"/>
          <w:kern w:val="0"/>
          <w:sz w:val="21"/>
          <w:szCs w:val="21"/>
          <w14:ligatures w14:val="none"/>
        </w:rPr>
        <w:t xml:space="preserve"> initial due date for the Answer — to address the nature and basis of the claims and defenses, the possibility of settlement, arrangements for initial disclosures, and this discovery plan. A written report of the discovery plan will be filed within 14 days after the conference (by September 11, 2026).</w:t>
      </w:r>
    </w:p>
    <w:p w14:paraId="6AA5EF6E" w14:textId="77777777" w:rsidR="0045722E" w:rsidRPr="0045722E" w:rsidRDefault="0045722E" w:rsidP="0045722E">
      <w:pPr>
        <w:numPr>
          <w:ilvl w:val="0"/>
          <w:numId w:val="1"/>
        </w:num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 xml:space="preserve">The parties shall exchange initial disclosures under Rule 26.01(a) on or before September 28, 2026 (within 60 days after the July 29, </w:t>
      </w:r>
      <w:proofErr w:type="gramStart"/>
      <w:r w:rsidRPr="0045722E">
        <w:rPr>
          <w:rFonts w:ascii="Segoe UI" w:eastAsia="Times New Roman" w:hAnsi="Segoe UI" w:cs="Segoe UI"/>
          <w:color w:val="000000"/>
          <w:kern w:val="0"/>
          <w:sz w:val="21"/>
          <w:szCs w:val="21"/>
          <w14:ligatures w14:val="none"/>
        </w:rPr>
        <w:t>2026</w:t>
      </w:r>
      <w:proofErr w:type="gramEnd"/>
      <w:r w:rsidRPr="0045722E">
        <w:rPr>
          <w:rFonts w:ascii="Segoe UI" w:eastAsia="Times New Roman" w:hAnsi="Segoe UI" w:cs="Segoe UI"/>
          <w:color w:val="000000"/>
          <w:kern w:val="0"/>
          <w:sz w:val="21"/>
          <w:szCs w:val="21"/>
          <w14:ligatures w14:val="none"/>
        </w:rPr>
        <w:t xml:space="preserve"> initial answer due date), unless the parties stipulate or the Court orders otherwise.</w:t>
      </w:r>
    </w:p>
    <w:p w14:paraId="7ADF3E27" w14:textId="77777777" w:rsidR="0045722E" w:rsidRPr="0045722E" w:rsidRDefault="0045722E" w:rsidP="0045722E">
      <w:pPr>
        <w:spacing w:before="360" w:after="240" w:line="240" w:lineRule="auto"/>
        <w:outlineLvl w:val="2"/>
        <w:rPr>
          <w:rFonts w:ascii="Segoe UI" w:eastAsia="Times New Roman" w:hAnsi="Segoe UI" w:cs="Segoe UI"/>
          <w:b/>
          <w:bCs/>
          <w:color w:val="000000"/>
          <w:kern w:val="0"/>
          <w:sz w:val="30"/>
          <w:szCs w:val="30"/>
          <w14:ligatures w14:val="none"/>
        </w:rPr>
      </w:pPr>
      <w:r w:rsidRPr="0045722E">
        <w:rPr>
          <w:rFonts w:ascii="Segoe UI" w:eastAsia="Times New Roman" w:hAnsi="Segoe UI" w:cs="Segoe UI"/>
          <w:b/>
          <w:bCs/>
          <w:color w:val="000000"/>
          <w:kern w:val="0"/>
          <w:sz w:val="30"/>
          <w:szCs w:val="30"/>
          <w14:ligatures w14:val="none"/>
        </w:rPr>
        <w:t>B. Subjects on Which Discovery Will Be Needed (Rule 26.06(c)(2))</w:t>
      </w:r>
    </w:p>
    <w:p w14:paraId="61604D49" w14:textId="77777777" w:rsidR="0045722E" w:rsidRPr="0045722E" w:rsidRDefault="0045722E" w:rsidP="0045722E">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 xml:space="preserve">The cause, extent, and location of the July 13, </w:t>
      </w:r>
      <w:proofErr w:type="gramStart"/>
      <w:r w:rsidRPr="0045722E">
        <w:rPr>
          <w:rFonts w:ascii="Segoe UI" w:eastAsia="Times New Roman" w:hAnsi="Segoe UI" w:cs="Segoe UI"/>
          <w:color w:val="000000"/>
          <w:kern w:val="0"/>
          <w:sz w:val="21"/>
          <w:szCs w:val="21"/>
          <w14:ligatures w14:val="none"/>
        </w:rPr>
        <w:t>2024</w:t>
      </w:r>
      <w:proofErr w:type="gramEnd"/>
      <w:r w:rsidRPr="0045722E">
        <w:rPr>
          <w:rFonts w:ascii="Segoe UI" w:eastAsia="Times New Roman" w:hAnsi="Segoe UI" w:cs="Segoe UI"/>
          <w:color w:val="000000"/>
          <w:kern w:val="0"/>
          <w:sz w:val="21"/>
          <w:szCs w:val="21"/>
          <w14:ligatures w14:val="none"/>
        </w:rPr>
        <w:t xml:space="preserve"> hail damage to the windows and other exterior components of the Property, including all components the appraisal panel did not </w:t>
      </w:r>
      <w:proofErr w:type="gramStart"/>
      <w:r w:rsidRPr="0045722E">
        <w:rPr>
          <w:rFonts w:ascii="Segoe UI" w:eastAsia="Times New Roman" w:hAnsi="Segoe UI" w:cs="Segoe UI"/>
          <w:color w:val="000000"/>
          <w:kern w:val="0"/>
          <w:sz w:val="21"/>
          <w:szCs w:val="21"/>
          <w14:ligatures w14:val="none"/>
        </w:rPr>
        <w:t>evaluate;</w:t>
      </w:r>
      <w:proofErr w:type="gramEnd"/>
    </w:p>
    <w:p w14:paraId="4681D1BF" w14:textId="77777777" w:rsidR="0045722E" w:rsidRPr="0045722E" w:rsidRDefault="0045722E" w:rsidP="0045722E">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The three inspections (Hancock, Brau, and Prieve) — their scope and methodology, including the decision to limit the Prieve engagement to “windows only</w:t>
      </w:r>
      <w:proofErr w:type="gramStart"/>
      <w:r w:rsidRPr="0045722E">
        <w:rPr>
          <w:rFonts w:ascii="Segoe UI" w:eastAsia="Times New Roman" w:hAnsi="Segoe UI" w:cs="Segoe UI"/>
          <w:color w:val="000000"/>
          <w:kern w:val="0"/>
          <w:sz w:val="21"/>
          <w:szCs w:val="21"/>
          <w14:ligatures w14:val="none"/>
        </w:rPr>
        <w:t>”;</w:t>
      </w:r>
      <w:proofErr w:type="gramEnd"/>
    </w:p>
    <w:p w14:paraId="7D585942" w14:textId="77777777" w:rsidR="0045722E" w:rsidRPr="0045722E" w:rsidRDefault="0045722E" w:rsidP="0045722E">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 xml:space="preserve">Defendant’s handling of the claim, the two denials (September 3 and November 4, 2024), and its “engineer’s report only” evidentiary </w:t>
      </w:r>
      <w:proofErr w:type="gramStart"/>
      <w:r w:rsidRPr="0045722E">
        <w:rPr>
          <w:rFonts w:ascii="Segoe UI" w:eastAsia="Times New Roman" w:hAnsi="Segoe UI" w:cs="Segoe UI"/>
          <w:color w:val="000000"/>
          <w:kern w:val="0"/>
          <w:sz w:val="21"/>
          <w:szCs w:val="21"/>
          <w14:ligatures w14:val="none"/>
        </w:rPr>
        <w:t>rule;</w:t>
      </w:r>
      <w:proofErr w:type="gramEnd"/>
    </w:p>
    <w:p w14:paraId="4165471E" w14:textId="77777777" w:rsidR="0045722E" w:rsidRPr="0045722E" w:rsidRDefault="0045722E" w:rsidP="0045722E">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 xml:space="preserve">The 2020 claim and file (Xactimate and photo log) and Defendant’s “prior payment” and “no hail after 2020” </w:t>
      </w:r>
      <w:proofErr w:type="gramStart"/>
      <w:r w:rsidRPr="0045722E">
        <w:rPr>
          <w:rFonts w:ascii="Segoe UI" w:eastAsia="Times New Roman" w:hAnsi="Segoe UI" w:cs="Segoe UI"/>
          <w:color w:val="000000"/>
          <w:kern w:val="0"/>
          <w:sz w:val="21"/>
          <w:szCs w:val="21"/>
          <w14:ligatures w14:val="none"/>
        </w:rPr>
        <w:t>theories;</w:t>
      </w:r>
      <w:proofErr w:type="gramEnd"/>
    </w:p>
    <w:p w14:paraId="65661367" w14:textId="77777777" w:rsidR="0045722E" w:rsidRPr="0045722E" w:rsidRDefault="0045722E" w:rsidP="0045722E">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 xml:space="preserve">The September 12, </w:t>
      </w:r>
      <w:proofErr w:type="gramStart"/>
      <w:r w:rsidRPr="0045722E">
        <w:rPr>
          <w:rFonts w:ascii="Segoe UI" w:eastAsia="Times New Roman" w:hAnsi="Segoe UI" w:cs="Segoe UI"/>
          <w:color w:val="000000"/>
          <w:kern w:val="0"/>
          <w:sz w:val="21"/>
          <w:szCs w:val="21"/>
          <w14:ligatures w14:val="none"/>
        </w:rPr>
        <w:t>2025</w:t>
      </w:r>
      <w:proofErr w:type="gramEnd"/>
      <w:r w:rsidRPr="0045722E">
        <w:rPr>
          <w:rFonts w:ascii="Segoe UI" w:eastAsia="Times New Roman" w:hAnsi="Segoe UI" w:cs="Segoe UI"/>
          <w:color w:val="000000"/>
          <w:kern w:val="0"/>
          <w:sz w:val="21"/>
          <w:szCs w:val="21"/>
          <w14:ligatures w14:val="none"/>
        </w:rPr>
        <w:t xml:space="preserve"> appraisal award — its scope and itemization, and the umpire’s and appraisers’ </w:t>
      </w:r>
      <w:proofErr w:type="gramStart"/>
      <w:r w:rsidRPr="0045722E">
        <w:rPr>
          <w:rFonts w:ascii="Segoe UI" w:eastAsia="Times New Roman" w:hAnsi="Segoe UI" w:cs="Segoe UI"/>
          <w:color w:val="000000"/>
          <w:kern w:val="0"/>
          <w:sz w:val="21"/>
          <w:szCs w:val="21"/>
          <w14:ligatures w14:val="none"/>
        </w:rPr>
        <w:t>files;</w:t>
      </w:r>
      <w:proofErr w:type="gramEnd"/>
    </w:p>
    <w:p w14:paraId="18033787" w14:textId="77777777" w:rsidR="0045722E" w:rsidRPr="0045722E" w:rsidRDefault="0045722E" w:rsidP="0045722E">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Defendant’s internal communications and recorded calls concerning the claim and its handling (email, messaging, and telephone</w:t>
      </w:r>
      <w:proofErr w:type="gramStart"/>
      <w:r w:rsidRPr="0045722E">
        <w:rPr>
          <w:rFonts w:ascii="Segoe UI" w:eastAsia="Times New Roman" w:hAnsi="Segoe UI" w:cs="Segoe UI"/>
          <w:color w:val="000000"/>
          <w:kern w:val="0"/>
          <w:sz w:val="21"/>
          <w:szCs w:val="21"/>
          <w14:ligatures w14:val="none"/>
        </w:rPr>
        <w:t>);</w:t>
      </w:r>
      <w:proofErr w:type="gramEnd"/>
    </w:p>
    <w:p w14:paraId="4E75F91A" w14:textId="77777777" w:rsidR="0045722E" w:rsidRPr="0045722E" w:rsidRDefault="0045722E" w:rsidP="0045722E">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 xml:space="preserve">Defendant’s institutional claims-handling policies, training, and procedures in effect since July 13, 2024, including its treatment of non-engineer evidence and its practice for reviewing and adopting third-party inspection and engineering </w:t>
      </w:r>
      <w:proofErr w:type="gramStart"/>
      <w:r w:rsidRPr="0045722E">
        <w:rPr>
          <w:rFonts w:ascii="Segoe UI" w:eastAsia="Times New Roman" w:hAnsi="Segoe UI" w:cs="Segoe UI"/>
          <w:color w:val="000000"/>
          <w:kern w:val="0"/>
          <w:sz w:val="21"/>
          <w:szCs w:val="21"/>
          <w14:ligatures w14:val="none"/>
        </w:rPr>
        <w:t>reports;</w:t>
      </w:r>
      <w:proofErr w:type="gramEnd"/>
    </w:p>
    <w:p w14:paraId="1EE24A17" w14:textId="77777777" w:rsidR="0045722E" w:rsidRPr="0045722E" w:rsidRDefault="0045722E" w:rsidP="0045722E">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 xml:space="preserve">Defendant’s retention and oversight of its inspection and engineering vendors (Hancock and Prieve), including in other Minnesota hail claims from 2020 </w:t>
      </w:r>
      <w:proofErr w:type="gramStart"/>
      <w:r w:rsidRPr="0045722E">
        <w:rPr>
          <w:rFonts w:ascii="Segoe UI" w:eastAsia="Times New Roman" w:hAnsi="Segoe UI" w:cs="Segoe UI"/>
          <w:color w:val="000000"/>
          <w:kern w:val="0"/>
          <w:sz w:val="21"/>
          <w:szCs w:val="21"/>
          <w14:ligatures w14:val="none"/>
        </w:rPr>
        <w:t>forward;</w:t>
      </w:r>
      <w:proofErr w:type="gramEnd"/>
    </w:p>
    <w:p w14:paraId="6A41208E" w14:textId="77777777" w:rsidR="0045722E" w:rsidRPr="0045722E" w:rsidRDefault="0045722E" w:rsidP="0045722E">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 xml:space="preserve">Defendant’s claim file and audit trail, its record-retention practices, and the existence or loss of the Brau September 6, </w:t>
      </w:r>
      <w:proofErr w:type="gramStart"/>
      <w:r w:rsidRPr="0045722E">
        <w:rPr>
          <w:rFonts w:ascii="Segoe UI" w:eastAsia="Times New Roman" w:hAnsi="Segoe UI" w:cs="Segoe UI"/>
          <w:color w:val="000000"/>
          <w:kern w:val="0"/>
          <w:sz w:val="21"/>
          <w:szCs w:val="21"/>
          <w14:ligatures w14:val="none"/>
        </w:rPr>
        <w:t>2024</w:t>
      </w:r>
      <w:proofErr w:type="gramEnd"/>
      <w:r w:rsidRPr="0045722E">
        <w:rPr>
          <w:rFonts w:ascii="Segoe UI" w:eastAsia="Times New Roman" w:hAnsi="Segoe UI" w:cs="Segoe UI"/>
          <w:color w:val="000000"/>
          <w:kern w:val="0"/>
          <w:sz w:val="21"/>
          <w:szCs w:val="21"/>
          <w14:ligatures w14:val="none"/>
        </w:rPr>
        <w:t xml:space="preserve"> inspection records; and</w:t>
      </w:r>
    </w:p>
    <w:p w14:paraId="5F8ADD5F" w14:textId="77777777" w:rsidR="0045722E" w:rsidRPr="0045722E" w:rsidRDefault="0045722E" w:rsidP="0045722E">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 xml:space="preserve">Defendant’s response to Plaintiffs’ November 19, </w:t>
      </w:r>
      <w:proofErr w:type="gramStart"/>
      <w:r w:rsidRPr="0045722E">
        <w:rPr>
          <w:rFonts w:ascii="Segoe UI" w:eastAsia="Times New Roman" w:hAnsi="Segoe UI" w:cs="Segoe UI"/>
          <w:color w:val="000000"/>
          <w:kern w:val="0"/>
          <w:sz w:val="21"/>
          <w:szCs w:val="21"/>
          <w14:ligatures w14:val="none"/>
        </w:rPr>
        <w:t>2024</w:t>
      </w:r>
      <w:proofErr w:type="gramEnd"/>
      <w:r w:rsidRPr="0045722E">
        <w:rPr>
          <w:rFonts w:ascii="Segoe UI" w:eastAsia="Times New Roman" w:hAnsi="Segoe UI" w:cs="Segoe UI"/>
          <w:color w:val="000000"/>
          <w:kern w:val="0"/>
          <w:sz w:val="21"/>
          <w:szCs w:val="21"/>
          <w14:ligatures w14:val="none"/>
        </w:rPr>
        <w:t xml:space="preserve"> complaint to the Minnesota Department of Commerce (Complaint ID 93547).</w:t>
      </w:r>
    </w:p>
    <w:p w14:paraId="6D5B7407" w14:textId="77777777" w:rsidR="0045722E" w:rsidRPr="0045722E" w:rsidRDefault="0045722E" w:rsidP="0045722E">
      <w:pPr>
        <w:spacing w:before="360" w:after="240" w:line="240" w:lineRule="auto"/>
        <w:outlineLvl w:val="2"/>
        <w:rPr>
          <w:rFonts w:ascii="Segoe UI" w:eastAsia="Times New Roman" w:hAnsi="Segoe UI" w:cs="Segoe UI"/>
          <w:b/>
          <w:bCs/>
          <w:color w:val="000000"/>
          <w:kern w:val="0"/>
          <w:sz w:val="30"/>
          <w:szCs w:val="30"/>
          <w14:ligatures w14:val="none"/>
        </w:rPr>
      </w:pPr>
      <w:r w:rsidRPr="0045722E">
        <w:rPr>
          <w:rFonts w:ascii="Segoe UI" w:eastAsia="Times New Roman" w:hAnsi="Segoe UI" w:cs="Segoe UI"/>
          <w:b/>
          <w:bCs/>
          <w:color w:val="000000"/>
          <w:kern w:val="0"/>
          <w:sz w:val="30"/>
          <w:szCs w:val="30"/>
          <w14:ligatures w14:val="none"/>
        </w:rPr>
        <w:t>C. Phasing, ESI, Privilege, Confidentiality, and Limits (Rule 26.06(c)(1</w:t>
      </w:r>
      <w:proofErr w:type="gramStart"/>
      <w:r w:rsidRPr="0045722E">
        <w:rPr>
          <w:rFonts w:ascii="Segoe UI" w:eastAsia="Times New Roman" w:hAnsi="Segoe UI" w:cs="Segoe UI"/>
          <w:b/>
          <w:bCs/>
          <w:color w:val="000000"/>
          <w:kern w:val="0"/>
          <w:sz w:val="30"/>
          <w:szCs w:val="30"/>
          <w14:ligatures w14:val="none"/>
        </w:rPr>
        <w:t>),(</w:t>
      </w:r>
      <w:proofErr w:type="gramEnd"/>
      <w:r w:rsidRPr="0045722E">
        <w:rPr>
          <w:rFonts w:ascii="Segoe UI" w:eastAsia="Times New Roman" w:hAnsi="Segoe UI" w:cs="Segoe UI"/>
          <w:b/>
          <w:bCs/>
          <w:color w:val="000000"/>
          <w:kern w:val="0"/>
          <w:sz w:val="30"/>
          <w:szCs w:val="30"/>
          <w14:ligatures w14:val="none"/>
        </w:rPr>
        <w:t>3)-(6))</w:t>
      </w:r>
    </w:p>
    <w:p w14:paraId="687F2DAC" w14:textId="77777777" w:rsidR="0045722E" w:rsidRPr="0045722E" w:rsidRDefault="0045722E" w:rsidP="0045722E">
      <w:pPr>
        <w:numPr>
          <w:ilvl w:val="0"/>
          <w:numId w:val="3"/>
        </w:num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b/>
          <w:bCs/>
          <w:color w:val="000000"/>
          <w:kern w:val="0"/>
          <w:sz w:val="21"/>
          <w:szCs w:val="21"/>
          <w14:ligatures w14:val="none"/>
        </w:rPr>
        <w:lastRenderedPageBreak/>
        <w:t>Phasing.</w:t>
      </w:r>
      <w:r w:rsidRPr="0045722E">
        <w:rPr>
          <w:rFonts w:ascii="Segoe UI" w:eastAsia="Times New Roman" w:hAnsi="Segoe UI" w:cs="Segoe UI"/>
          <w:color w:val="000000"/>
          <w:kern w:val="0"/>
          <w:sz w:val="21"/>
          <w:szCs w:val="21"/>
          <w14:ligatures w14:val="none"/>
        </w:rPr>
        <w:t> Plaintiffs propose that discovery proceed without formal phasing, with fact discovery preceding expert discovery on the schedule set out in Part I.E.</w:t>
      </w:r>
    </w:p>
    <w:p w14:paraId="7208065C" w14:textId="77777777" w:rsidR="0045722E" w:rsidRPr="0045722E" w:rsidRDefault="0045722E" w:rsidP="0045722E">
      <w:pPr>
        <w:numPr>
          <w:ilvl w:val="0"/>
          <w:numId w:val="3"/>
        </w:num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b/>
          <w:bCs/>
          <w:color w:val="000000"/>
          <w:kern w:val="0"/>
          <w:sz w:val="21"/>
          <w:szCs w:val="21"/>
          <w14:ligatures w14:val="none"/>
        </w:rPr>
        <w:t>Electronically stored information.</w:t>
      </w:r>
      <w:r w:rsidRPr="0045722E">
        <w:rPr>
          <w:rFonts w:ascii="Segoe UI" w:eastAsia="Times New Roman" w:hAnsi="Segoe UI" w:cs="Segoe UI"/>
          <w:color w:val="000000"/>
          <w:kern w:val="0"/>
          <w:sz w:val="21"/>
          <w:szCs w:val="21"/>
          <w14:ligatures w14:val="none"/>
        </w:rPr>
        <w:t> ESI shall be produced in native format with all metadata intact, or in another reasonably usable form as the parties agree; the searchability and metadata of ESI shall not be degraded. The parties shall address preservation, custodians, and data sources at the Rule 26.06 conference.</w:t>
      </w:r>
    </w:p>
    <w:p w14:paraId="38E8E052" w14:textId="77777777" w:rsidR="0045722E" w:rsidRPr="0045722E" w:rsidRDefault="0045722E" w:rsidP="0045722E">
      <w:pPr>
        <w:numPr>
          <w:ilvl w:val="0"/>
          <w:numId w:val="3"/>
        </w:num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b/>
          <w:bCs/>
          <w:color w:val="000000"/>
          <w:kern w:val="0"/>
          <w:sz w:val="21"/>
          <w:szCs w:val="21"/>
          <w14:ligatures w14:val="none"/>
        </w:rPr>
        <w:t>Privilege.</w:t>
      </w:r>
      <w:r w:rsidRPr="0045722E">
        <w:rPr>
          <w:rFonts w:ascii="Segoe UI" w:eastAsia="Times New Roman" w:hAnsi="Segoe UI" w:cs="Segoe UI"/>
          <w:color w:val="000000"/>
          <w:kern w:val="0"/>
          <w:sz w:val="21"/>
          <w:szCs w:val="21"/>
          <w14:ligatures w14:val="none"/>
        </w:rPr>
        <w:t> A party withholding materials on privilege grounds shall serve a privilege log under Rule 26.02(f). The parties shall enter a non-waiver/claw-back agreement providing that inadvertent production does not waive privilege and permitting the Court to approve the agreement so that its protections bind non-parties.</w:t>
      </w:r>
    </w:p>
    <w:p w14:paraId="58F28F04" w14:textId="77777777" w:rsidR="0045722E" w:rsidRPr="0045722E" w:rsidRDefault="0045722E" w:rsidP="0045722E">
      <w:pPr>
        <w:numPr>
          <w:ilvl w:val="0"/>
          <w:numId w:val="3"/>
        </w:num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b/>
          <w:bCs/>
          <w:color w:val="000000"/>
          <w:kern w:val="0"/>
          <w:sz w:val="21"/>
          <w:szCs w:val="21"/>
          <w14:ligatures w14:val="none"/>
        </w:rPr>
        <w:t>Discovery limits.</w:t>
      </w:r>
      <w:r w:rsidRPr="0045722E">
        <w:rPr>
          <w:rFonts w:ascii="Segoe UI" w:eastAsia="Times New Roman" w:hAnsi="Segoe UI" w:cs="Segoe UI"/>
          <w:color w:val="000000"/>
          <w:kern w:val="0"/>
          <w:sz w:val="21"/>
          <w:szCs w:val="21"/>
          <w14:ligatures w14:val="none"/>
        </w:rPr>
        <w:t> Absent agreement or leave of court, the parties will observe the presumptive limits on written discovery and depositions. Plaintiffs propose that the parties confer on any needed adjustments, including deposition hours for Rule 30.02(f) organizational depositions.</w:t>
      </w:r>
    </w:p>
    <w:p w14:paraId="6C657580" w14:textId="77777777" w:rsidR="0045722E" w:rsidRPr="0045722E" w:rsidRDefault="0045722E" w:rsidP="0045722E">
      <w:pPr>
        <w:numPr>
          <w:ilvl w:val="0"/>
          <w:numId w:val="3"/>
        </w:num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b/>
          <w:bCs/>
          <w:color w:val="000000"/>
          <w:kern w:val="0"/>
          <w:sz w:val="21"/>
          <w:szCs w:val="21"/>
          <w14:ligatures w14:val="none"/>
        </w:rPr>
        <w:t>Confidentiality and protective order.</w:t>
      </w:r>
      <w:r w:rsidRPr="0045722E">
        <w:rPr>
          <w:rFonts w:ascii="Segoe UI" w:eastAsia="Times New Roman" w:hAnsi="Segoe UI" w:cs="Segoe UI"/>
          <w:color w:val="000000"/>
          <w:kern w:val="0"/>
          <w:sz w:val="21"/>
          <w:szCs w:val="21"/>
          <w14:ligatures w14:val="none"/>
        </w:rPr>
        <w:t> Plaintiffs’ position on the key terms is:</w:t>
      </w:r>
    </w:p>
    <w:p w14:paraId="0B59A2AB" w14:textId="77777777" w:rsidR="0045722E" w:rsidRPr="0045722E" w:rsidRDefault="0045722E" w:rsidP="0045722E">
      <w:pPr>
        <w:spacing w:after="168" w:line="240" w:lineRule="auto"/>
        <w:ind w:left="720"/>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(a) a </w:t>
      </w:r>
      <w:r w:rsidRPr="0045722E">
        <w:rPr>
          <w:rFonts w:ascii="Segoe UI" w:eastAsia="Times New Roman" w:hAnsi="Segoe UI" w:cs="Segoe UI"/>
          <w:i/>
          <w:iCs/>
          <w:color w:val="000000"/>
          <w:kern w:val="0"/>
          <w:sz w:val="21"/>
          <w:szCs w:val="21"/>
          <w14:ligatures w14:val="none"/>
        </w:rPr>
        <w:t>single</w:t>
      </w:r>
      <w:r w:rsidRPr="0045722E">
        <w:rPr>
          <w:rFonts w:ascii="Segoe UI" w:eastAsia="Times New Roman" w:hAnsi="Segoe UI" w:cs="Segoe UI"/>
          <w:color w:val="000000"/>
          <w:kern w:val="0"/>
          <w:sz w:val="21"/>
          <w:szCs w:val="21"/>
          <w14:ligatures w14:val="none"/>
        </w:rPr>
        <w:t xml:space="preserve"> tier of protection — material may be designated CONFIDENTIAL, but Plaintiffs will not agree to an “Attorneys’ Eyes Only” or other counsel-only tier, because Plaintiffs appear pro se and such a tier would operate as a complete bar on their access to the evidence in their own </w:t>
      </w:r>
      <w:proofErr w:type="gramStart"/>
      <w:r w:rsidRPr="0045722E">
        <w:rPr>
          <w:rFonts w:ascii="Segoe UI" w:eastAsia="Times New Roman" w:hAnsi="Segoe UI" w:cs="Segoe UI"/>
          <w:color w:val="000000"/>
          <w:kern w:val="0"/>
          <w:sz w:val="21"/>
          <w:szCs w:val="21"/>
          <w14:ligatures w14:val="none"/>
        </w:rPr>
        <w:t>case;</w:t>
      </w:r>
      <w:proofErr w:type="gramEnd"/>
    </w:p>
    <w:p w14:paraId="08C234A5" w14:textId="77777777" w:rsidR="0045722E" w:rsidRPr="0045722E" w:rsidRDefault="0045722E" w:rsidP="0045722E">
      <w:pPr>
        <w:spacing w:after="168" w:line="240" w:lineRule="auto"/>
        <w:ind w:left="720"/>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(b) designations must be limited to genuine trade-secret, proprietary business, or private personal or financial information, and material may not be designated merely because it was produced from a claim file; and</w:t>
      </w:r>
    </w:p>
    <w:p w14:paraId="1D6A4C1A" w14:textId="77777777" w:rsidR="0045722E" w:rsidRPr="0045722E" w:rsidRDefault="0045722E" w:rsidP="0045722E">
      <w:pPr>
        <w:spacing w:after="168" w:line="240" w:lineRule="auto"/>
        <w:ind w:left="720"/>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(c) as to persons permitted access, material designated CONFIDENTIAL may be disclosed to: the parties; the Court and its personnel; court reporters and videographers; any person retained by a party as an expert or consultant in this action; Jeffrey Hu, who assists Plaintiffs in this litigation; deposition and trial witnesses to the extent reasonably necessary for their examination; and, as to Defendant, its counsel of record, counsel’s staff, and its employees and representatives with a need to know — with each such person, other than the parties, the Court and its personnel, and counsel of record and counsel’s staff, first signing a written undertaking agreeing to be bound by the protective order and submitting to the jurisdiction of this Court for its enforcement.</w:t>
      </w:r>
    </w:p>
    <w:p w14:paraId="11F630BA" w14:textId="77777777" w:rsidR="0045722E" w:rsidRPr="0045722E" w:rsidRDefault="0045722E" w:rsidP="0045722E">
      <w:pPr>
        <w:spacing w:after="240"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The remaining operational terms are matters for a stipulated order. As the party seeking to protect its own records, Defendant is expected to propose the form of order, and Plaintiffs will respond promptly. If the parties cannot agree, Plaintiffs request that the Court resolve any disputed terms at or promptly after the Rule 26.06 conference.</w:t>
      </w:r>
    </w:p>
    <w:p w14:paraId="2CB81AA6" w14:textId="77777777" w:rsidR="0045722E" w:rsidRPr="0045722E" w:rsidRDefault="0045722E" w:rsidP="0045722E">
      <w:pPr>
        <w:spacing w:before="360" w:after="240" w:line="240" w:lineRule="auto"/>
        <w:outlineLvl w:val="2"/>
        <w:rPr>
          <w:rFonts w:ascii="Segoe UI" w:eastAsia="Times New Roman" w:hAnsi="Segoe UI" w:cs="Segoe UI"/>
          <w:b/>
          <w:bCs/>
          <w:color w:val="000000"/>
          <w:kern w:val="0"/>
          <w:sz w:val="30"/>
          <w:szCs w:val="30"/>
          <w14:ligatures w14:val="none"/>
        </w:rPr>
      </w:pPr>
      <w:r w:rsidRPr="0045722E">
        <w:rPr>
          <w:rFonts w:ascii="Segoe UI" w:eastAsia="Times New Roman" w:hAnsi="Segoe UI" w:cs="Segoe UI"/>
          <w:b/>
          <w:bCs/>
          <w:color w:val="000000"/>
          <w:kern w:val="0"/>
          <w:sz w:val="30"/>
          <w:szCs w:val="30"/>
          <w14:ligatures w14:val="none"/>
        </w:rPr>
        <w:t>D. Anticipated Motions</w:t>
      </w:r>
    </w:p>
    <w:p w14:paraId="2DE32C4C" w14:textId="645C13B9" w:rsidR="0045722E" w:rsidRPr="0045722E" w:rsidRDefault="0045722E" w:rsidP="0045722E">
      <w:pPr>
        <w:spacing w:after="240"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Plaintiffs anticipate that discovery-related and dispositive motions may be necessary during the case. Anticipated motion deadlines are reflected in the proposed schedule in Part E.</w:t>
      </w:r>
    </w:p>
    <w:p w14:paraId="7F2718DA" w14:textId="77777777" w:rsidR="0045722E" w:rsidRPr="0045722E" w:rsidRDefault="0045722E" w:rsidP="0045722E">
      <w:pPr>
        <w:spacing w:before="360" w:after="240" w:line="240" w:lineRule="auto"/>
        <w:outlineLvl w:val="2"/>
        <w:rPr>
          <w:rFonts w:ascii="Segoe UI" w:eastAsia="Times New Roman" w:hAnsi="Segoe UI" w:cs="Segoe UI"/>
          <w:b/>
          <w:bCs/>
          <w:color w:val="000000"/>
          <w:kern w:val="0"/>
          <w:sz w:val="30"/>
          <w:szCs w:val="30"/>
          <w14:ligatures w14:val="none"/>
        </w:rPr>
      </w:pPr>
      <w:r w:rsidRPr="0045722E">
        <w:rPr>
          <w:rFonts w:ascii="Segoe UI" w:eastAsia="Times New Roman" w:hAnsi="Segoe UI" w:cs="Segoe UI"/>
          <w:b/>
          <w:bCs/>
          <w:color w:val="000000"/>
          <w:kern w:val="0"/>
          <w:sz w:val="30"/>
          <w:szCs w:val="30"/>
          <w14:ligatures w14:val="none"/>
        </w:rPr>
        <w:lastRenderedPageBreak/>
        <w:t>E. Proposed Scheduling Deadlines</w:t>
      </w:r>
    </w:p>
    <w:p w14:paraId="19F15AB5" w14:textId="77777777" w:rsidR="0045722E" w:rsidRPr="0045722E" w:rsidRDefault="0045722E" w:rsidP="0045722E">
      <w:pPr>
        <w:spacing w:after="240"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 xml:space="preserve">The following dates are proposals. They are keyed to the July 29, </w:t>
      </w:r>
      <w:proofErr w:type="gramStart"/>
      <w:r w:rsidRPr="0045722E">
        <w:rPr>
          <w:rFonts w:ascii="Segoe UI" w:eastAsia="Times New Roman" w:hAnsi="Segoe UI" w:cs="Segoe UI"/>
          <w:color w:val="000000"/>
          <w:kern w:val="0"/>
          <w:sz w:val="21"/>
          <w:szCs w:val="21"/>
          <w14:ligatures w14:val="none"/>
        </w:rPr>
        <w:t>2026</w:t>
      </w:r>
      <w:proofErr w:type="gramEnd"/>
      <w:r w:rsidRPr="0045722E">
        <w:rPr>
          <w:rFonts w:ascii="Segoe UI" w:eastAsia="Times New Roman" w:hAnsi="Segoe UI" w:cs="Segoe UI"/>
          <w:color w:val="000000"/>
          <w:kern w:val="0"/>
          <w:sz w:val="21"/>
          <w:szCs w:val="21"/>
          <w14:ligatures w14:val="none"/>
        </w:rPr>
        <w:t xml:space="preserve"> initial answer due date and the August 28, </w:t>
      </w:r>
      <w:proofErr w:type="gramStart"/>
      <w:r w:rsidRPr="0045722E">
        <w:rPr>
          <w:rFonts w:ascii="Segoe UI" w:eastAsia="Times New Roman" w:hAnsi="Segoe UI" w:cs="Segoe UI"/>
          <w:color w:val="000000"/>
          <w:kern w:val="0"/>
          <w:sz w:val="21"/>
          <w:szCs w:val="21"/>
          <w14:ligatures w14:val="none"/>
        </w:rPr>
        <w:t>2026</w:t>
      </w:r>
      <w:proofErr w:type="gramEnd"/>
      <w:r w:rsidRPr="0045722E">
        <w:rPr>
          <w:rFonts w:ascii="Segoe UI" w:eastAsia="Times New Roman" w:hAnsi="Segoe UI" w:cs="Segoe UI"/>
          <w:color w:val="000000"/>
          <w:kern w:val="0"/>
          <w:sz w:val="21"/>
          <w:szCs w:val="21"/>
          <w14:ligatures w14:val="none"/>
        </w:rPr>
        <w:t xml:space="preserve"> discovery conference. The schedule reflects the demands of a document-intensive first-party insurance case — a multi-year claim file, three separate inspections, non-party discovery from the inspecting firms and the members of the appraisal panel, and competing expert causation testimony — while setting a date certain for the substantial completion of document production so that depositions and expert work may proceed on a predictable timetable. Plaintiffs further propose that ADR be completed after the close of fact discovery but before expert disclosures, so that the parties can evaluate settlement on a complete factual record without first incurring the cost of expert reports. All dates are subject to the parties' conferral and the Court's scheduling order:</w:t>
      </w:r>
    </w:p>
    <w:tbl>
      <w:tblPr>
        <w:tblW w:w="0" w:type="auto"/>
        <w:tblCellMar>
          <w:top w:w="15" w:type="dxa"/>
          <w:left w:w="15" w:type="dxa"/>
          <w:bottom w:w="15" w:type="dxa"/>
          <w:right w:w="15" w:type="dxa"/>
        </w:tblCellMar>
        <w:tblLook w:val="04A0" w:firstRow="1" w:lastRow="0" w:firstColumn="1" w:lastColumn="0" w:noHBand="0" w:noVBand="1"/>
      </w:tblPr>
      <w:tblGrid>
        <w:gridCol w:w="5986"/>
        <w:gridCol w:w="2690"/>
      </w:tblGrid>
      <w:tr w:rsidR="0045722E" w:rsidRPr="0045722E" w14:paraId="124FEEF7" w14:textId="77777777">
        <w:trPr>
          <w:tblHeader/>
        </w:trPr>
        <w:tc>
          <w:tcPr>
            <w:tcW w:w="0" w:type="auto"/>
            <w:tcMar>
              <w:top w:w="75" w:type="dxa"/>
              <w:left w:w="150" w:type="dxa"/>
              <w:bottom w:w="75" w:type="dxa"/>
              <w:right w:w="150" w:type="dxa"/>
            </w:tcMar>
            <w:vAlign w:val="center"/>
            <w:hideMark/>
          </w:tcPr>
          <w:p w14:paraId="5B31A0CD" w14:textId="77777777" w:rsidR="0045722E" w:rsidRPr="0045722E" w:rsidRDefault="0045722E" w:rsidP="0045722E">
            <w:pPr>
              <w:spacing w:after="168" w:line="240" w:lineRule="auto"/>
              <w:rPr>
                <w:rFonts w:ascii="Segoe UI" w:eastAsia="Times New Roman" w:hAnsi="Segoe UI" w:cs="Segoe UI"/>
                <w:b/>
                <w:bCs/>
                <w:color w:val="000000"/>
                <w:kern w:val="0"/>
                <w:sz w:val="21"/>
                <w:szCs w:val="21"/>
                <w14:ligatures w14:val="none"/>
              </w:rPr>
            </w:pPr>
            <w:r w:rsidRPr="0045722E">
              <w:rPr>
                <w:rFonts w:ascii="Segoe UI" w:eastAsia="Times New Roman" w:hAnsi="Segoe UI" w:cs="Segoe UI"/>
                <w:b/>
                <w:bCs/>
                <w:color w:val="000000"/>
                <w:kern w:val="0"/>
                <w:sz w:val="21"/>
                <w:szCs w:val="21"/>
                <w14:ligatures w14:val="none"/>
              </w:rPr>
              <w:t>Event</w:t>
            </w:r>
          </w:p>
        </w:tc>
        <w:tc>
          <w:tcPr>
            <w:tcW w:w="0" w:type="auto"/>
            <w:tcMar>
              <w:top w:w="75" w:type="dxa"/>
              <w:left w:w="150" w:type="dxa"/>
              <w:bottom w:w="75" w:type="dxa"/>
              <w:right w:w="150" w:type="dxa"/>
            </w:tcMar>
            <w:vAlign w:val="center"/>
            <w:hideMark/>
          </w:tcPr>
          <w:p w14:paraId="19F2CA84" w14:textId="77777777" w:rsidR="0045722E" w:rsidRPr="0045722E" w:rsidRDefault="0045722E" w:rsidP="0045722E">
            <w:pPr>
              <w:spacing w:after="168" w:line="240" w:lineRule="auto"/>
              <w:rPr>
                <w:rFonts w:ascii="Segoe UI" w:eastAsia="Times New Roman" w:hAnsi="Segoe UI" w:cs="Segoe UI"/>
                <w:b/>
                <w:bCs/>
                <w:color w:val="000000"/>
                <w:kern w:val="0"/>
                <w:sz w:val="21"/>
                <w:szCs w:val="21"/>
                <w14:ligatures w14:val="none"/>
              </w:rPr>
            </w:pPr>
            <w:r w:rsidRPr="0045722E">
              <w:rPr>
                <w:rFonts w:ascii="Segoe UI" w:eastAsia="Times New Roman" w:hAnsi="Segoe UI" w:cs="Segoe UI"/>
                <w:b/>
                <w:bCs/>
                <w:color w:val="000000"/>
                <w:kern w:val="0"/>
                <w:sz w:val="21"/>
                <w:szCs w:val="21"/>
                <w14:ligatures w14:val="none"/>
              </w:rPr>
              <w:t>Proposed Deadline</w:t>
            </w:r>
          </w:p>
        </w:tc>
      </w:tr>
      <w:tr w:rsidR="0045722E" w:rsidRPr="0045722E" w14:paraId="4425CE32" w14:textId="77777777">
        <w:tc>
          <w:tcPr>
            <w:tcW w:w="0" w:type="auto"/>
            <w:tcMar>
              <w:top w:w="75" w:type="dxa"/>
              <w:left w:w="150" w:type="dxa"/>
              <w:bottom w:w="75" w:type="dxa"/>
              <w:right w:w="150" w:type="dxa"/>
            </w:tcMar>
            <w:vAlign w:val="center"/>
            <w:hideMark/>
          </w:tcPr>
          <w:p w14:paraId="1F8F385F"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Rule 26.06(a) discovery conference</w:t>
            </w:r>
          </w:p>
        </w:tc>
        <w:tc>
          <w:tcPr>
            <w:tcW w:w="0" w:type="auto"/>
            <w:tcMar>
              <w:top w:w="75" w:type="dxa"/>
              <w:left w:w="150" w:type="dxa"/>
              <w:bottom w:w="75" w:type="dxa"/>
              <w:right w:w="150" w:type="dxa"/>
            </w:tcMar>
            <w:vAlign w:val="center"/>
            <w:hideMark/>
          </w:tcPr>
          <w:p w14:paraId="547268A8"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Aug. 28, 2026 (scheduled)</w:t>
            </w:r>
          </w:p>
        </w:tc>
      </w:tr>
      <w:tr w:rsidR="0045722E" w:rsidRPr="0045722E" w14:paraId="0CA6AC22" w14:textId="77777777">
        <w:tc>
          <w:tcPr>
            <w:tcW w:w="0" w:type="auto"/>
            <w:tcMar>
              <w:top w:w="75" w:type="dxa"/>
              <w:left w:w="150" w:type="dxa"/>
              <w:bottom w:w="75" w:type="dxa"/>
              <w:right w:w="150" w:type="dxa"/>
            </w:tcMar>
            <w:vAlign w:val="center"/>
            <w:hideMark/>
          </w:tcPr>
          <w:p w14:paraId="796433D8"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Written discovery-plan report to the Court</w:t>
            </w:r>
          </w:p>
        </w:tc>
        <w:tc>
          <w:tcPr>
            <w:tcW w:w="0" w:type="auto"/>
            <w:tcMar>
              <w:top w:w="75" w:type="dxa"/>
              <w:left w:w="150" w:type="dxa"/>
              <w:bottom w:w="75" w:type="dxa"/>
              <w:right w:w="150" w:type="dxa"/>
            </w:tcMar>
            <w:vAlign w:val="center"/>
            <w:hideMark/>
          </w:tcPr>
          <w:p w14:paraId="1425E3F3"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Sept. 11, 2026</w:t>
            </w:r>
          </w:p>
        </w:tc>
      </w:tr>
      <w:tr w:rsidR="0045722E" w:rsidRPr="0045722E" w14:paraId="65B9AAB5" w14:textId="77777777">
        <w:tc>
          <w:tcPr>
            <w:tcW w:w="0" w:type="auto"/>
            <w:tcMar>
              <w:top w:w="75" w:type="dxa"/>
              <w:left w:w="150" w:type="dxa"/>
              <w:bottom w:w="75" w:type="dxa"/>
              <w:right w:w="150" w:type="dxa"/>
            </w:tcMar>
            <w:vAlign w:val="center"/>
            <w:hideMark/>
          </w:tcPr>
          <w:p w14:paraId="7126596F"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Rule 26.01(a) initial disclosures</w:t>
            </w:r>
          </w:p>
        </w:tc>
        <w:tc>
          <w:tcPr>
            <w:tcW w:w="0" w:type="auto"/>
            <w:tcMar>
              <w:top w:w="75" w:type="dxa"/>
              <w:left w:w="150" w:type="dxa"/>
              <w:bottom w:w="75" w:type="dxa"/>
              <w:right w:w="150" w:type="dxa"/>
            </w:tcMar>
            <w:vAlign w:val="center"/>
            <w:hideMark/>
          </w:tcPr>
          <w:p w14:paraId="6741E34B"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Sept. 28, 2026</w:t>
            </w:r>
          </w:p>
        </w:tc>
      </w:tr>
      <w:tr w:rsidR="0045722E" w:rsidRPr="0045722E" w14:paraId="59CFDF7C" w14:textId="77777777">
        <w:tc>
          <w:tcPr>
            <w:tcW w:w="0" w:type="auto"/>
            <w:tcMar>
              <w:top w:w="75" w:type="dxa"/>
              <w:left w:w="150" w:type="dxa"/>
              <w:bottom w:w="75" w:type="dxa"/>
              <w:right w:w="150" w:type="dxa"/>
            </w:tcMar>
            <w:vAlign w:val="center"/>
            <w:hideMark/>
          </w:tcPr>
          <w:p w14:paraId="1ED6C244"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Deadline to join parties / amend pleadings</w:t>
            </w:r>
          </w:p>
        </w:tc>
        <w:tc>
          <w:tcPr>
            <w:tcW w:w="0" w:type="auto"/>
            <w:tcMar>
              <w:top w:w="75" w:type="dxa"/>
              <w:left w:w="150" w:type="dxa"/>
              <w:bottom w:w="75" w:type="dxa"/>
              <w:right w:w="150" w:type="dxa"/>
            </w:tcMar>
            <w:vAlign w:val="center"/>
            <w:hideMark/>
          </w:tcPr>
          <w:p w14:paraId="2FE75C62"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Jan. 15, 2027</w:t>
            </w:r>
          </w:p>
        </w:tc>
      </w:tr>
      <w:tr w:rsidR="0045722E" w:rsidRPr="0045722E" w14:paraId="60C88365" w14:textId="77777777">
        <w:tc>
          <w:tcPr>
            <w:tcW w:w="0" w:type="auto"/>
            <w:tcMar>
              <w:top w:w="75" w:type="dxa"/>
              <w:left w:w="150" w:type="dxa"/>
              <w:bottom w:w="75" w:type="dxa"/>
              <w:right w:w="150" w:type="dxa"/>
            </w:tcMar>
            <w:vAlign w:val="center"/>
            <w:hideMark/>
          </w:tcPr>
          <w:p w14:paraId="16BD879E"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Substantial completion of document production</w:t>
            </w:r>
          </w:p>
        </w:tc>
        <w:tc>
          <w:tcPr>
            <w:tcW w:w="0" w:type="auto"/>
            <w:tcMar>
              <w:top w:w="75" w:type="dxa"/>
              <w:left w:w="150" w:type="dxa"/>
              <w:bottom w:w="75" w:type="dxa"/>
              <w:right w:w="150" w:type="dxa"/>
            </w:tcMar>
            <w:vAlign w:val="center"/>
            <w:hideMark/>
          </w:tcPr>
          <w:p w14:paraId="00087DA3"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Feb. 26, 2027</w:t>
            </w:r>
          </w:p>
        </w:tc>
      </w:tr>
      <w:tr w:rsidR="0045722E" w:rsidRPr="0045722E" w14:paraId="1B8E0B7D" w14:textId="77777777">
        <w:tc>
          <w:tcPr>
            <w:tcW w:w="0" w:type="auto"/>
            <w:tcMar>
              <w:top w:w="75" w:type="dxa"/>
              <w:left w:w="150" w:type="dxa"/>
              <w:bottom w:w="75" w:type="dxa"/>
              <w:right w:w="150" w:type="dxa"/>
            </w:tcMar>
            <w:vAlign w:val="center"/>
            <w:hideMark/>
          </w:tcPr>
          <w:p w14:paraId="0765A7D7"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Close of fact discovery</w:t>
            </w:r>
          </w:p>
        </w:tc>
        <w:tc>
          <w:tcPr>
            <w:tcW w:w="0" w:type="auto"/>
            <w:tcMar>
              <w:top w:w="75" w:type="dxa"/>
              <w:left w:w="150" w:type="dxa"/>
              <w:bottom w:w="75" w:type="dxa"/>
              <w:right w:w="150" w:type="dxa"/>
            </w:tcMar>
            <w:vAlign w:val="center"/>
            <w:hideMark/>
          </w:tcPr>
          <w:p w14:paraId="61E4A4AA"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August 31, 2027</w:t>
            </w:r>
          </w:p>
        </w:tc>
      </w:tr>
      <w:tr w:rsidR="0045722E" w:rsidRPr="0045722E" w14:paraId="77C75AB6" w14:textId="77777777">
        <w:tc>
          <w:tcPr>
            <w:tcW w:w="0" w:type="auto"/>
            <w:tcMar>
              <w:top w:w="75" w:type="dxa"/>
              <w:left w:w="150" w:type="dxa"/>
              <w:bottom w:w="75" w:type="dxa"/>
              <w:right w:w="150" w:type="dxa"/>
            </w:tcMar>
            <w:vAlign w:val="center"/>
            <w:hideMark/>
          </w:tcPr>
          <w:p w14:paraId="335B8C4F"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ADR completed (Rule 114)</w:t>
            </w:r>
          </w:p>
        </w:tc>
        <w:tc>
          <w:tcPr>
            <w:tcW w:w="0" w:type="auto"/>
            <w:tcMar>
              <w:top w:w="75" w:type="dxa"/>
              <w:left w:w="150" w:type="dxa"/>
              <w:bottom w:w="75" w:type="dxa"/>
              <w:right w:w="150" w:type="dxa"/>
            </w:tcMar>
            <w:vAlign w:val="center"/>
            <w:hideMark/>
          </w:tcPr>
          <w:p w14:paraId="5A227AA1"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Sept. 30, 2027</w:t>
            </w:r>
          </w:p>
        </w:tc>
      </w:tr>
      <w:tr w:rsidR="0045722E" w:rsidRPr="0045722E" w14:paraId="332B802C" w14:textId="77777777">
        <w:tc>
          <w:tcPr>
            <w:tcW w:w="0" w:type="auto"/>
            <w:tcMar>
              <w:top w:w="75" w:type="dxa"/>
              <w:left w:w="150" w:type="dxa"/>
              <w:bottom w:w="75" w:type="dxa"/>
              <w:right w:w="150" w:type="dxa"/>
            </w:tcMar>
            <w:vAlign w:val="center"/>
            <w:hideMark/>
          </w:tcPr>
          <w:p w14:paraId="35EFEB5C"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Plaintiffs' expert disclosures (Rule 26.01(b))</w:t>
            </w:r>
          </w:p>
        </w:tc>
        <w:tc>
          <w:tcPr>
            <w:tcW w:w="0" w:type="auto"/>
            <w:tcMar>
              <w:top w:w="75" w:type="dxa"/>
              <w:left w:w="150" w:type="dxa"/>
              <w:bottom w:w="75" w:type="dxa"/>
              <w:right w:w="150" w:type="dxa"/>
            </w:tcMar>
            <w:vAlign w:val="center"/>
            <w:hideMark/>
          </w:tcPr>
          <w:p w14:paraId="5024E9D5"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Oct. 29, 2027</w:t>
            </w:r>
          </w:p>
        </w:tc>
      </w:tr>
      <w:tr w:rsidR="0045722E" w:rsidRPr="0045722E" w14:paraId="3381DA1B" w14:textId="77777777">
        <w:tc>
          <w:tcPr>
            <w:tcW w:w="0" w:type="auto"/>
            <w:tcMar>
              <w:top w:w="75" w:type="dxa"/>
              <w:left w:w="150" w:type="dxa"/>
              <w:bottom w:w="75" w:type="dxa"/>
              <w:right w:w="150" w:type="dxa"/>
            </w:tcMar>
            <w:vAlign w:val="center"/>
            <w:hideMark/>
          </w:tcPr>
          <w:p w14:paraId="26E0F220"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Deadline for Minn. Stat. § 604.18 motion to amend (bad faith)</w:t>
            </w:r>
          </w:p>
        </w:tc>
        <w:tc>
          <w:tcPr>
            <w:tcW w:w="0" w:type="auto"/>
            <w:tcMar>
              <w:top w:w="75" w:type="dxa"/>
              <w:left w:w="150" w:type="dxa"/>
              <w:bottom w:w="75" w:type="dxa"/>
              <w:right w:w="150" w:type="dxa"/>
            </w:tcMar>
            <w:vAlign w:val="center"/>
            <w:hideMark/>
          </w:tcPr>
          <w:p w14:paraId="1EB57CCF"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Nov. 30, 2027</w:t>
            </w:r>
          </w:p>
        </w:tc>
      </w:tr>
      <w:tr w:rsidR="0045722E" w:rsidRPr="0045722E" w14:paraId="1F35D4F9" w14:textId="77777777">
        <w:tc>
          <w:tcPr>
            <w:tcW w:w="0" w:type="auto"/>
            <w:tcMar>
              <w:top w:w="75" w:type="dxa"/>
              <w:left w:w="150" w:type="dxa"/>
              <w:bottom w:w="75" w:type="dxa"/>
              <w:right w:w="150" w:type="dxa"/>
            </w:tcMar>
            <w:vAlign w:val="center"/>
            <w:hideMark/>
          </w:tcPr>
          <w:p w14:paraId="17990D89"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Defendant's expert disclosures</w:t>
            </w:r>
          </w:p>
        </w:tc>
        <w:tc>
          <w:tcPr>
            <w:tcW w:w="0" w:type="auto"/>
            <w:tcMar>
              <w:top w:w="75" w:type="dxa"/>
              <w:left w:w="150" w:type="dxa"/>
              <w:bottom w:w="75" w:type="dxa"/>
              <w:right w:w="150" w:type="dxa"/>
            </w:tcMar>
            <w:vAlign w:val="center"/>
            <w:hideMark/>
          </w:tcPr>
          <w:p w14:paraId="65A8FE6F"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Dec. 10, 2027</w:t>
            </w:r>
          </w:p>
        </w:tc>
      </w:tr>
      <w:tr w:rsidR="0045722E" w:rsidRPr="0045722E" w14:paraId="2E5B7951" w14:textId="77777777">
        <w:tc>
          <w:tcPr>
            <w:tcW w:w="0" w:type="auto"/>
            <w:tcMar>
              <w:top w:w="75" w:type="dxa"/>
              <w:left w:w="150" w:type="dxa"/>
              <w:bottom w:w="75" w:type="dxa"/>
              <w:right w:w="150" w:type="dxa"/>
            </w:tcMar>
            <w:vAlign w:val="center"/>
            <w:hideMark/>
          </w:tcPr>
          <w:p w14:paraId="6F381677"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Rebuttal expert disclosures</w:t>
            </w:r>
          </w:p>
        </w:tc>
        <w:tc>
          <w:tcPr>
            <w:tcW w:w="0" w:type="auto"/>
            <w:tcMar>
              <w:top w:w="75" w:type="dxa"/>
              <w:left w:w="150" w:type="dxa"/>
              <w:bottom w:w="75" w:type="dxa"/>
              <w:right w:w="150" w:type="dxa"/>
            </w:tcMar>
            <w:vAlign w:val="center"/>
            <w:hideMark/>
          </w:tcPr>
          <w:p w14:paraId="55C2D468"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Jan. 14, 2028</w:t>
            </w:r>
          </w:p>
        </w:tc>
      </w:tr>
      <w:tr w:rsidR="0045722E" w:rsidRPr="0045722E" w14:paraId="6AFF851D" w14:textId="77777777">
        <w:tc>
          <w:tcPr>
            <w:tcW w:w="0" w:type="auto"/>
            <w:tcMar>
              <w:top w:w="75" w:type="dxa"/>
              <w:left w:w="150" w:type="dxa"/>
              <w:bottom w:w="75" w:type="dxa"/>
              <w:right w:w="150" w:type="dxa"/>
            </w:tcMar>
            <w:vAlign w:val="center"/>
            <w:hideMark/>
          </w:tcPr>
          <w:p w14:paraId="0649E29C"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Close of expert discovery</w:t>
            </w:r>
          </w:p>
        </w:tc>
        <w:tc>
          <w:tcPr>
            <w:tcW w:w="0" w:type="auto"/>
            <w:tcMar>
              <w:top w:w="75" w:type="dxa"/>
              <w:left w:w="150" w:type="dxa"/>
              <w:bottom w:w="75" w:type="dxa"/>
              <w:right w:w="150" w:type="dxa"/>
            </w:tcMar>
            <w:vAlign w:val="center"/>
            <w:hideMark/>
          </w:tcPr>
          <w:p w14:paraId="5B872767"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Feb. 25, 2028</w:t>
            </w:r>
          </w:p>
        </w:tc>
      </w:tr>
      <w:tr w:rsidR="0045722E" w:rsidRPr="0045722E" w14:paraId="50796E62" w14:textId="77777777">
        <w:tc>
          <w:tcPr>
            <w:tcW w:w="0" w:type="auto"/>
            <w:tcMar>
              <w:top w:w="75" w:type="dxa"/>
              <w:left w:w="150" w:type="dxa"/>
              <w:bottom w:w="75" w:type="dxa"/>
              <w:right w:w="150" w:type="dxa"/>
            </w:tcMar>
            <w:vAlign w:val="center"/>
            <w:hideMark/>
          </w:tcPr>
          <w:p w14:paraId="67A29C8C"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Dispositive motions heard by</w:t>
            </w:r>
          </w:p>
        </w:tc>
        <w:tc>
          <w:tcPr>
            <w:tcW w:w="0" w:type="auto"/>
            <w:tcMar>
              <w:top w:w="75" w:type="dxa"/>
              <w:left w:w="150" w:type="dxa"/>
              <w:bottom w:w="75" w:type="dxa"/>
              <w:right w:w="150" w:type="dxa"/>
            </w:tcMar>
            <w:vAlign w:val="center"/>
            <w:hideMark/>
          </w:tcPr>
          <w:p w14:paraId="645CA02B"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Apr. 14, 2028</w:t>
            </w:r>
          </w:p>
        </w:tc>
      </w:tr>
      <w:tr w:rsidR="0045722E" w:rsidRPr="0045722E" w14:paraId="5F62BCD0" w14:textId="77777777">
        <w:tc>
          <w:tcPr>
            <w:tcW w:w="0" w:type="auto"/>
            <w:tcMar>
              <w:top w:w="75" w:type="dxa"/>
              <w:left w:w="150" w:type="dxa"/>
              <w:bottom w:w="75" w:type="dxa"/>
              <w:right w:w="150" w:type="dxa"/>
            </w:tcMar>
            <w:vAlign w:val="center"/>
            <w:hideMark/>
          </w:tcPr>
          <w:p w14:paraId="5D8C7A7E"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Trial-ready date</w:t>
            </w:r>
          </w:p>
        </w:tc>
        <w:tc>
          <w:tcPr>
            <w:tcW w:w="0" w:type="auto"/>
            <w:tcMar>
              <w:top w:w="75" w:type="dxa"/>
              <w:left w:w="150" w:type="dxa"/>
              <w:bottom w:w="75" w:type="dxa"/>
              <w:right w:w="150" w:type="dxa"/>
            </w:tcMar>
            <w:vAlign w:val="center"/>
            <w:hideMark/>
          </w:tcPr>
          <w:p w14:paraId="71442C41" w14:textId="77777777" w:rsidR="0045722E" w:rsidRPr="0045722E" w:rsidRDefault="0045722E" w:rsidP="0045722E">
            <w:pPr>
              <w:spacing w:after="168" w:line="240" w:lineRule="auto"/>
              <w:rPr>
                <w:rFonts w:ascii="Segoe UI" w:eastAsia="Times New Roman" w:hAnsi="Segoe UI" w:cs="Segoe UI"/>
                <w:color w:val="000000"/>
                <w:kern w:val="0"/>
                <w:sz w:val="21"/>
                <w:szCs w:val="21"/>
                <w14:ligatures w14:val="none"/>
              </w:rPr>
            </w:pPr>
            <w:r w:rsidRPr="0045722E">
              <w:rPr>
                <w:rFonts w:ascii="Segoe UI" w:eastAsia="Times New Roman" w:hAnsi="Segoe UI" w:cs="Segoe UI"/>
                <w:color w:val="000000"/>
                <w:kern w:val="0"/>
                <w:sz w:val="21"/>
                <w:szCs w:val="21"/>
                <w14:ligatures w14:val="none"/>
              </w:rPr>
              <w:t>June 2028</w:t>
            </w:r>
          </w:p>
        </w:tc>
      </w:tr>
    </w:tbl>
    <w:p w14:paraId="5B66F54B" w14:textId="77777777" w:rsidR="0045722E" w:rsidRDefault="0045722E"/>
    <w:sectPr w:rsidR="00457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28D"/>
    <w:multiLevelType w:val="multilevel"/>
    <w:tmpl w:val="CAFA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E4BE2"/>
    <w:multiLevelType w:val="multilevel"/>
    <w:tmpl w:val="A6A8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43AEF"/>
    <w:multiLevelType w:val="multilevel"/>
    <w:tmpl w:val="673A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989888">
    <w:abstractNumId w:val="2"/>
  </w:num>
  <w:num w:numId="2" w16cid:durableId="1504126781">
    <w:abstractNumId w:val="0"/>
  </w:num>
  <w:num w:numId="3" w16cid:durableId="626005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22E"/>
    <w:rsid w:val="0001096C"/>
    <w:rsid w:val="004572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40B3B9"/>
  <w15:chartTrackingRefBased/>
  <w15:docId w15:val="{54CABFFB-BFAE-7040-8C77-6D6571E50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7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7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7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7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22E"/>
    <w:rPr>
      <w:rFonts w:eastAsiaTheme="majorEastAsia" w:cstheme="majorBidi"/>
      <w:color w:val="272727" w:themeColor="text1" w:themeTint="D8"/>
    </w:rPr>
  </w:style>
  <w:style w:type="paragraph" w:styleId="Title">
    <w:name w:val="Title"/>
    <w:basedOn w:val="Normal"/>
    <w:next w:val="Normal"/>
    <w:link w:val="TitleChar"/>
    <w:uiPriority w:val="10"/>
    <w:qFormat/>
    <w:rsid w:val="00457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22E"/>
    <w:pPr>
      <w:spacing w:before="160"/>
      <w:jc w:val="center"/>
    </w:pPr>
    <w:rPr>
      <w:i/>
      <w:iCs/>
      <w:color w:val="404040" w:themeColor="text1" w:themeTint="BF"/>
    </w:rPr>
  </w:style>
  <w:style w:type="character" w:customStyle="1" w:styleId="QuoteChar">
    <w:name w:val="Quote Char"/>
    <w:basedOn w:val="DefaultParagraphFont"/>
    <w:link w:val="Quote"/>
    <w:uiPriority w:val="29"/>
    <w:rsid w:val="0045722E"/>
    <w:rPr>
      <w:i/>
      <w:iCs/>
      <w:color w:val="404040" w:themeColor="text1" w:themeTint="BF"/>
    </w:rPr>
  </w:style>
  <w:style w:type="paragraph" w:styleId="ListParagraph">
    <w:name w:val="List Paragraph"/>
    <w:basedOn w:val="Normal"/>
    <w:uiPriority w:val="34"/>
    <w:qFormat/>
    <w:rsid w:val="0045722E"/>
    <w:pPr>
      <w:ind w:left="720"/>
      <w:contextualSpacing/>
    </w:pPr>
  </w:style>
  <w:style w:type="character" w:styleId="IntenseEmphasis">
    <w:name w:val="Intense Emphasis"/>
    <w:basedOn w:val="DefaultParagraphFont"/>
    <w:uiPriority w:val="21"/>
    <w:qFormat/>
    <w:rsid w:val="0045722E"/>
    <w:rPr>
      <w:i/>
      <w:iCs/>
      <w:color w:val="0F4761" w:themeColor="accent1" w:themeShade="BF"/>
    </w:rPr>
  </w:style>
  <w:style w:type="paragraph" w:styleId="IntenseQuote">
    <w:name w:val="Intense Quote"/>
    <w:basedOn w:val="Normal"/>
    <w:next w:val="Normal"/>
    <w:link w:val="IntenseQuoteChar"/>
    <w:uiPriority w:val="30"/>
    <w:qFormat/>
    <w:rsid w:val="00457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22E"/>
    <w:rPr>
      <w:i/>
      <w:iCs/>
      <w:color w:val="0F4761" w:themeColor="accent1" w:themeShade="BF"/>
    </w:rPr>
  </w:style>
  <w:style w:type="character" w:styleId="IntenseReference">
    <w:name w:val="Intense Reference"/>
    <w:basedOn w:val="DefaultParagraphFont"/>
    <w:uiPriority w:val="32"/>
    <w:qFormat/>
    <w:rsid w:val="0045722E"/>
    <w:rPr>
      <w:b/>
      <w:bCs/>
      <w:smallCaps/>
      <w:color w:val="0F4761" w:themeColor="accent1" w:themeShade="BF"/>
      <w:spacing w:val="5"/>
    </w:rPr>
  </w:style>
  <w:style w:type="paragraph" w:customStyle="1" w:styleId="code-line">
    <w:name w:val="code-line"/>
    <w:basedOn w:val="Normal"/>
    <w:rsid w:val="004572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5722E"/>
    <w:rPr>
      <w:b/>
      <w:bCs/>
    </w:rPr>
  </w:style>
  <w:style w:type="character" w:styleId="Emphasis">
    <w:name w:val="Emphasis"/>
    <w:basedOn w:val="DefaultParagraphFont"/>
    <w:uiPriority w:val="20"/>
    <w:qFormat/>
    <w:rsid w:val="004572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1066</Words>
  <Characters>6024</Characters>
  <Application>Microsoft Office Word</Application>
  <DocSecurity>0</DocSecurity>
  <Lines>115</Lines>
  <Paragraphs>68</Paragraphs>
  <ScaleCrop>false</ScaleCrop>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Bill</dc:creator>
  <cp:keywords/>
  <dc:description/>
  <cp:lastModifiedBy>Lu, Bill</cp:lastModifiedBy>
  <cp:revision>1</cp:revision>
  <dcterms:created xsi:type="dcterms:W3CDTF">2026-08-27T02:41:00Z</dcterms:created>
  <dcterms:modified xsi:type="dcterms:W3CDTF">2026-08-27T02:42:00Z</dcterms:modified>
</cp:coreProperties>
</file>