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r>
      <w:r>
        <w:rPr>
          <w:b/>
          <w:bCs/>
        </w:rPr>
        <w:tab/>
        <w:t>DISTRICT COURT</w:t>
      </w:r>
    </w:p>
    <w:p w14:paraId="57BF8DE9" w14:textId="77777777" w:rsidR="009D356D" w:rsidRDefault="00000000">
      <w:pPr>
        <w:tabs>
          <w:tab w:val="right" w:pos="9360"/>
        </w:tabs>
      </w:pPr>
      <w:r>
        <w:rPr>
          <w:b/>
          <w:bCs/>
        </w:rPr>
        <w:t>COUNTY OF HENNEPIN</w:t>
      </w:r>
      <w:r>
        <w:rPr>
          <w:b/>
          <w:bCs/>
        </w:rPr>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blPrEx>
          <w:tblCellMar>
            <w:top w:w="0" w:type="dxa"/>
            <w:bottom w:w="0" w:type="dxa"/>
          </w:tblCellMar>
        </w:tblPrEx>
        <w:tc>
          <w:tcPr>
            <w:tcW w:w="5400" w:type="dxa"/>
            <w:tcBorders>
              <w:right w:val="single" w:sz="6" w:space="0" w:color="000000"/>
            </w:tcBorders>
            <w:tcMar>
              <w:top w:w="80" w:type="dxa"/>
              <w:left w:w="0" w:type="dxa"/>
              <w:bottom w:w="80" w:type="dxa"/>
              <w:right w:w="160" w:type="dxa"/>
            </w:tcMar>
          </w:tcPr>
          <w:p w14:paraId="2FEAF54E" w14:textId="77777777" w:rsidR="009D356D" w:rsidRDefault="00000000">
            <w:proofErr w:type="spellStart"/>
            <w:r>
              <w:t>Yibiao</w:t>
            </w:r>
            <w:proofErr w:type="spellEnd"/>
            <w:r>
              <w:t xml:space="preserve">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r>
      <w:r>
        <w:tab/>
        <w:t xml:space="preserve">This is an action for breach of an insurance contract; for declaratory judgment construing that contract under Minn. Stat. </w:t>
      </w:r>
      <w:proofErr w:type="spellStart"/>
      <w:r>
        <w:t>ch.</w:t>
      </w:r>
      <w:proofErr w:type="spellEnd"/>
      <w:r>
        <w:t xml:space="preserve">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r>
      <w:r>
        <w:tab/>
        <w:t xml:space="preserve">Plaintiffs </w:t>
      </w:r>
      <w:proofErr w:type="spellStart"/>
      <w:r>
        <w:t>Yibiao</w:t>
      </w:r>
      <w:proofErr w:type="spellEnd"/>
      <w:r>
        <w:t xml:space="preserve">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r>
      <w:r>
        <w:tab/>
        <w:t xml:space="preserve">Plaintiffs seek monetary damages, declaratory relief, a declaration that the September 12, 2025 appraisal award is non-preclusive as to the scope it did not itemize (or, in the alternative, modification, correction, clarification, or vacatur of that award), prejudgment and </w:t>
      </w:r>
      <w:proofErr w:type="spellStart"/>
      <w:r>
        <w:t>postjudgment</w:t>
      </w:r>
      <w:proofErr w:type="spellEnd"/>
      <w:r>
        <w:t xml:space="preserve">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r>
      <w:r>
        <w:tab/>
        <w:t xml:space="preserve">Plaintiff </w:t>
      </w:r>
      <w:proofErr w:type="spellStart"/>
      <w:r>
        <w:t>Yibiao</w:t>
      </w:r>
      <w:proofErr w:type="spellEnd"/>
      <w:r>
        <w:t xml:space="preserve"> Lu is an individual residing at 17756 George Moran Dr., Eden Prairie, Hennepin County, Minnesota 55347, and is the named insured under Policy 98055-49-65. Plaintiff Jie Hu is the spouse of </w:t>
      </w:r>
      <w:proofErr w:type="spellStart"/>
      <w:r>
        <w:t>Yibiao</w:t>
      </w:r>
      <w:proofErr w:type="spellEnd"/>
      <w:r>
        <w:t xml:space="preserve"> Lu and a resident of the same household, and is an insured under the policy, which defines “you” and “</w:t>
      </w:r>
      <w:proofErr w:type="gramStart"/>
      <w:r>
        <w:t>your</w:t>
      </w:r>
      <w:proofErr w:type="gramEnd"/>
      <w:r>
        <w:t xml:space="preserve">” to mean the named insured shown in the Declarations and the named </w:t>
      </w:r>
      <w:r>
        <w:lastRenderedPageBreak/>
        <w:t>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r>
      <w:r>
        <w:tab/>
        <w:t>This Court has subject-matter jurisdiction under Minn. Stat. § 484.01.</w:t>
      </w:r>
    </w:p>
    <w:p w14:paraId="7F01B0E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r>
      <w:r>
        <w:tab/>
        <w:t xml:space="preserve">On October 22, 2014, Plaintiff </w:t>
      </w:r>
      <w:proofErr w:type="spellStart"/>
      <w:r>
        <w:t>Yibiao</w:t>
      </w:r>
      <w:proofErr w:type="spellEnd"/>
      <w:r>
        <w:t xml:space="preserve"> Lu and Defendant </w:t>
      </w:r>
      <w:proofErr w:type="gramStart"/>
      <w:r>
        <w:t>entered into</w:t>
      </w:r>
      <w:proofErr w:type="gramEnd"/>
      <w:r>
        <w:t xml:space="preserve">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r>
      <w:r>
        <w:tab/>
        <w:t xml:space="preserve">The policy in force on July 13, </w:t>
      </w:r>
      <w:proofErr w:type="gramStart"/>
      <w:r>
        <w:t>2024</w:t>
      </w:r>
      <w:proofErr w:type="gramEnd"/>
      <w:r>
        <w:t xml:space="preserve">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 xml:space="preserve">B. The July 13, </w:t>
      </w:r>
      <w:proofErr w:type="gramStart"/>
      <w:r>
        <w:rPr>
          <w:b/>
          <w:bCs/>
        </w:rPr>
        <w:t>2024</w:t>
      </w:r>
      <w:proofErr w:type="gramEnd"/>
      <w:r>
        <w:rPr>
          <w:b/>
          <w:bCs/>
        </w:rPr>
        <w:t xml:space="preserve"> Hailstorm</w:t>
      </w:r>
    </w:p>
    <w:p w14:paraId="7372F77C"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lastRenderedPageBreak/>
        <w:t>C. Discovery of Damage and Claim Opening</w:t>
      </w:r>
    </w:p>
    <w:p w14:paraId="73B6FFB8"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r>
      <w:r>
        <w:tab/>
        <w:t xml:space="preserve">Plaintiffs cooperated with Defendant's claim-handling process throughout. Plaintiffs called Defendant for a status update on August 19, </w:t>
      </w:r>
      <w:proofErr w:type="gramStart"/>
      <w:r>
        <w:t>2024</w:t>
      </w:r>
      <w:proofErr w:type="gramEnd"/>
      <w:r>
        <w:t xml:space="preserve">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r>
      <w:r>
        <w:tab/>
      </w:r>
      <w:r>
        <w:rPr>
          <w:b/>
          <w:bCs/>
        </w:rPr>
        <w:t>Second inspection (September 6, 2024).</w:t>
      </w:r>
      <w:r>
        <w:t xml:space="preserve"> Defendant's own </w:t>
      </w:r>
      <w:r w:rsidR="00A36096">
        <w:t xml:space="preserve">Senior </w:t>
      </w:r>
      <w:r>
        <w:t xml:space="preserve">Claim </w:t>
      </w:r>
      <w:r w:rsidR="00A36096">
        <w:t>Adjuster</w:t>
      </w:r>
      <w:r>
        <w:t xml:space="preserve">, Nicholas Brau, personally inspected the property. During the inspection, Mr. Brau identified dents on multiple windows alongside Plaintiffs and measured window </w:t>
      </w:r>
      <w:proofErr w:type="gramStart"/>
      <w:r>
        <w:t>dimensions, and</w:t>
      </w:r>
      <w:proofErr w:type="gramEnd"/>
      <w:r>
        <w:t xml:space="preserve">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w:t>
      </w:r>
      <w:r>
        <w:lastRenderedPageBreak/>
        <w:t>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w:t>
      </w:r>
      <w:r w:rsidR="00050968">
        <w:t xml:space="preserve"> as documented in the report’s </w:t>
      </w:r>
      <w:r w:rsidR="00050968">
        <w:t>Photo Appendix A</w:t>
      </w:r>
      <w:r w:rsidR="00050968">
        <w:t xml:space="preserve"> and further identified by location and photograph number in paragraph 49(a) below</w:t>
      </w:r>
      <w:r>
        <w:t>.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A-53,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w:t>
      </w:r>
      <w:proofErr w:type="gramStart"/>
      <w:r>
        <w:t>2024</w:t>
      </w:r>
      <w:proofErr w:type="gramEnd"/>
      <w:r>
        <w:t xml:space="preserve"> letter affirmatively stated that “interior </w:t>
      </w:r>
      <w:r>
        <w:lastRenderedPageBreak/>
        <w:t>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w:t>
      </w:r>
      <w:proofErr w:type="gramStart"/>
      <w:r>
        <w:t>2024</w:t>
      </w:r>
      <w:proofErr w:type="gramEnd"/>
      <w:r>
        <w:t xml:space="preserve"> denial transmitted Prieve's report to Plaintiffs as the basis for the denial. Prieve's report stated, in the Weather Records section, that </w:t>
      </w:r>
      <w:proofErr w:type="spellStart"/>
      <w:r>
        <w:t>stormersite</w:t>
      </w:r>
      <w:proofErr w:type="spellEnd"/>
      <w:r>
        <w:t xml:space="preserve"> and the NOAA Storm Events Database showed “most recent hail in Eden Prairie reported in 2020.” That representation of historical weather fact was and is objectively false. It is independently disproven by:</w:t>
      </w:r>
    </w:p>
    <w:p w14:paraId="5E8A011B" w14:textId="77777777" w:rsidR="009D356D" w:rsidRDefault="00000000">
      <w:pPr>
        <w:tabs>
          <w:tab w:val="left" w:pos="1440"/>
        </w:tabs>
        <w:spacing w:after="120" w:line="480" w:lineRule="auto"/>
        <w:ind w:left="1440" w:hanging="720"/>
      </w:pPr>
      <w:r>
        <w:t>a.</w:t>
      </w:r>
      <w:r>
        <w:tab/>
        <w:t xml:space="preserve">National Weather Service Twin Cities/Chanhassen documentation of severe thunderstorms across Minnesota on July 13–14, 2024 with hail up to 3.5–4 </w:t>
      </w:r>
      <w:r>
        <w:lastRenderedPageBreak/>
        <w:t xml:space="preserve">inches and a 48 MPH wind gust at Eden Prairie ASOS at 1:00 AM on July 14, </w:t>
      </w:r>
      <w:proofErr w:type="gramStart"/>
      <w:r>
        <w:t>2024;</w:t>
      </w:r>
      <w:proofErr w:type="gramEnd"/>
    </w:p>
    <w:p w14:paraId="535DD26D" w14:textId="68AE4BCF" w:rsidR="009D356D" w:rsidRDefault="00000000" w:rsidP="009636EC">
      <w:pPr>
        <w:tabs>
          <w:tab w:val="left" w:pos="1440"/>
        </w:tabs>
        <w:spacing w:after="120" w:line="480" w:lineRule="auto"/>
        <w:ind w:left="1440" w:hanging="720"/>
      </w:pPr>
      <w:r>
        <w:t>b.</w:t>
      </w:r>
      <w:r>
        <w:tab/>
      </w:r>
      <w:proofErr w:type="spellStart"/>
      <w:r>
        <w:t>Stormersite</w:t>
      </w:r>
      <w:proofErr w:type="spellEnd"/>
      <w:r>
        <w:t xml:space="preserve"> data showing hail reports near Eden Prairie in 2022, 2023, and </w:t>
      </w:r>
      <w:proofErr w:type="gramStart"/>
      <w:r>
        <w:t>2024;</w:t>
      </w:r>
      <w:proofErr w:type="gramEnd"/>
    </w:p>
    <w:p w14:paraId="515E80A1" w14:textId="531362F4" w:rsidR="009D356D" w:rsidRDefault="009636EC">
      <w:pPr>
        <w:tabs>
          <w:tab w:val="left" w:pos="1440"/>
        </w:tabs>
        <w:spacing w:after="120" w:line="480" w:lineRule="auto"/>
        <w:ind w:left="1440" w:hanging="720"/>
      </w:pPr>
      <w:r>
        <w:t>c</w:t>
      </w:r>
      <w:r w:rsidR="00000000">
        <w:t>.</w:t>
      </w:r>
      <w:r w:rsidR="00000000">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r>
      <w:r w:rsidR="00000000">
        <w:t>.</w:t>
      </w:r>
      <w:r w:rsidR="00000000">
        <w:tab/>
        <w:t xml:space="preserve">Defendant's own September 12, </w:t>
      </w:r>
      <w:proofErr w:type="gramStart"/>
      <w:r w:rsidR="00000000">
        <w:t>2025</w:t>
      </w:r>
      <w:proofErr w:type="gramEnd"/>
      <w:r w:rsidR="00000000">
        <w:t xml:space="preserve"> appraisal award, signed by the umpire Wade </w:t>
      </w:r>
      <w:proofErr w:type="spellStart"/>
      <w:r w:rsidR="00000000">
        <w:t>Roos</w:t>
      </w:r>
      <w:proofErr w:type="spellEnd"/>
      <w:r w:rsidR="00000000">
        <w:t xml:space="preserve">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r>
      <w:r>
        <w:tab/>
      </w:r>
      <w:r>
        <w:rPr>
          <w:b/>
          <w:bCs/>
        </w:rPr>
        <w:t>The two denials rest on incompatible factual theories.</w:t>
      </w:r>
      <w:r>
        <w:t xml:space="preserve"> The September 3, </w:t>
      </w:r>
      <w:proofErr w:type="gramStart"/>
      <w:r>
        <w:t>2024</w:t>
      </w:r>
      <w:proofErr w:type="gramEnd"/>
      <w:r>
        <w:t xml:space="preserve"> letter says no exterior damage exists; the November 4, </w:t>
      </w:r>
      <w:proofErr w:type="gramStart"/>
      <w:r>
        <w:t>2024</w:t>
      </w:r>
      <w:proofErr w:type="gramEnd"/>
      <w:r>
        <w:t xml:space="preserve"> letter acknowledges damage exists but blames aging and prior storms. Both cannot be correct.</w:t>
      </w:r>
    </w:p>
    <w:p w14:paraId="4FD32E41" w14:textId="10DB637B" w:rsidR="009D356D" w:rsidRDefault="00000000">
      <w:pPr>
        <w:tabs>
          <w:tab w:val="left" w:pos="720"/>
        </w:tabs>
        <w:spacing w:after="120" w:line="480" w:lineRule="auto"/>
        <w:ind w:left="720" w:hanging="720"/>
      </w:pPr>
      <w:r>
        <w:t>22.</w:t>
      </w:r>
      <w:r>
        <w:tab/>
      </w:r>
      <w:r>
        <w:rPr>
          <w:b/>
          <w:bCs/>
        </w:rPr>
        <w:t xml:space="preserve">The Prieve report on which the November 4, </w:t>
      </w:r>
      <w:proofErr w:type="gramStart"/>
      <w:r>
        <w:rPr>
          <w:b/>
          <w:bCs/>
        </w:rPr>
        <w:t>2024</w:t>
      </w:r>
      <w:proofErr w:type="gramEnd"/>
      <w:r>
        <w:rPr>
          <w:b/>
          <w:bCs/>
        </w:rPr>
        <w:t xml:space="preserve"> denial principally rests </w:t>
      </w:r>
      <w:proofErr w:type="gramStart"/>
      <w:r>
        <w:rPr>
          <w:b/>
          <w:bCs/>
        </w:rPr>
        <w:t>is</w:t>
      </w:r>
      <w:proofErr w:type="gramEnd"/>
      <w:r>
        <w:rPr>
          <w:b/>
          <w:bCs/>
        </w:rPr>
        <w:t xml:space="preserve"> independently deficient on its face.</w:t>
      </w:r>
      <w:r>
        <w:t xml:space="preserve"> The deficiencies include: (a) 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 (b) Prieve's own Photo Appendix A documents non-window damage in its captions (dented downspouts at A-42, A-91 through A-93, A-98 and A-99; dented flashing at A-103; chipped trim </w:t>
      </w:r>
      <w:r>
        <w:lastRenderedPageBreak/>
        <w:t xml:space="preserve">board at </w:t>
      </w:r>
      <w:r w:rsidR="00C07483">
        <w:t>A-53, A-54</w:t>
      </w:r>
      <w:r w:rsidR="00C07483">
        <w:t xml:space="preserve">, </w:t>
      </w:r>
      <w:r>
        <w:t xml:space="preserve">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damage on the east elevation (“storms moving from west to east with hail originating from a westerly direction”) is a generalization not derived from the specific July 13–14, 2024 storm event, which the National Weather Service documents as a multi-round overnight system with severe weather across Minnesota; the generalization is further refuted by Defendant's own September 12, 2025 appraisal award, which awarded a rear/east window (B1.2, family room) as a hail loss alongside a front/west window (F1.7), thereby confirming that hail damaged the east elevation of the dwelling, and by the fact that wind direction is not fixed within a single </w:t>
      </w:r>
      <w:r>
        <w:lastRenderedPageBreak/>
        <w:t xml:space="preserve">storm — surface winds veer and back as a storm cell approaches, passes, and departs, and gust fronts, outflow boundaries, and a rotating updraft can drive hail against multiple faces of a structure during the same event; (h) the report's Activities section does not list as inputs the Hancock August 29, 2024 inspection </w:t>
      </w:r>
      <w:proofErr w:type="spellStart"/>
      <w:r>
        <w:t>workproduct</w:t>
      </w:r>
      <w:proofErr w:type="spellEnd"/>
      <w:r>
        <w:t>, the September 3, 2024 first denial letter, any record of adjuster Nicholas Brau's September 6, 2024 observations, or Plaintiffs' photographic submissions of September 5, 8, and 10, 2024; and (</w:t>
      </w:r>
      <w:proofErr w:type="spellStart"/>
      <w:r>
        <w:t>i</w:t>
      </w:r>
      <w:proofErr w:type="spellEnd"/>
      <w:r>
        <w:t xml:space="preserve">)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w:t>
      </w:r>
      <w:r>
        <w:lastRenderedPageBreak/>
        <w:t>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w:t>
      </w:r>
      <w:proofErr w:type="gramStart"/>
      <w:r>
        <w:t>2020</w:t>
      </w:r>
      <w:proofErr w:type="gramEnd"/>
      <w:r>
        <w:t xml:space="preserve">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r>
      <w:r>
        <w:tab/>
      </w:r>
      <w:r>
        <w:rPr>
          <w:b/>
          <w:bCs/>
        </w:rPr>
        <w:t>The 2020 scope was two sashes, not the home's windows generally.</w:t>
      </w:r>
      <w:r>
        <w:t xml:space="preserve"> The 2020 Building Loss Worksheet and Xactimate approved two casement windows at line items 1–4, with no other window-related line items. Plaintiffs maintain that the dents within that scope were on two sashes, not two whole window units.</w:t>
      </w:r>
    </w:p>
    <w:p w14:paraId="5FAFF302"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sashes and identified no other dented sash or window anywhere on the home.</w:t>
      </w:r>
      <w:r>
        <w:t xml:space="preserve"> Defendant's own record therefore reflects that, as of October 13, 2020, no window or sash on the property other than the two paid sashes was identified as </w:t>
      </w:r>
      <w:proofErr w:type="gramStart"/>
      <w:r>
        <w:t>hail-damaged</w:t>
      </w:r>
      <w:proofErr w:type="gramEnd"/>
      <w:r>
        <w:t>.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lastRenderedPageBreak/>
        <w:t>c.</w:t>
      </w:r>
      <w:r>
        <w:tab/>
      </w:r>
      <w:r>
        <w:rPr>
          <w:b/>
          <w:bCs/>
        </w:rPr>
        <w:t xml:space="preserve">The only documented hail event at the property after the 2020 inspection is the July 13, </w:t>
      </w:r>
      <w:proofErr w:type="gramStart"/>
      <w:r>
        <w:rPr>
          <w:b/>
          <w:bCs/>
        </w:rPr>
        <w:t>2024</w:t>
      </w:r>
      <w:proofErr w:type="gramEnd"/>
      <w:r>
        <w:rPr>
          <w:b/>
          <w:bCs/>
        </w:rPr>
        <w:t xml:space="preserve"> hailstorm.</w:t>
      </w:r>
      <w:r>
        <w:t xml:space="preserve"> The post-2020 dents the Prieve report catalogs across at least nineteen windows therefore align with the July 13, </w:t>
      </w:r>
      <w:proofErr w:type="gramStart"/>
      <w:r>
        <w:t>2024</w:t>
      </w:r>
      <w:proofErr w:type="gramEnd"/>
      <w:r>
        <w:t xml:space="preserve"> loss and cannot be attributed to the 2020 claim, which by Defendant's own scope reached only two sashes.</w:t>
      </w:r>
    </w:p>
    <w:p w14:paraId="3BB1D074"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lastRenderedPageBreak/>
        <w:t>F. The “Engineer's Report Only” Gatekeeping Rule</w:t>
      </w:r>
    </w:p>
    <w:p w14:paraId="2ECB98E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r>
      <w:r>
        <w:tab/>
        <w:t xml:space="preserve">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w:t>
      </w:r>
      <w:proofErr w:type="spellStart"/>
      <w:r>
        <w:t>engineers</w:t>
      </w:r>
      <w:proofErr w:type="spellEnd"/>
      <w:r>
        <w:t xml:space="preserve"> report so I believe that's what he wanted to look for from you.”</w:t>
      </w:r>
    </w:p>
    <w:p w14:paraId="64FA61F2" w14:textId="77777777" w:rsidR="009D356D" w:rsidRDefault="00000000">
      <w:pPr>
        <w:tabs>
          <w:tab w:val="left" w:pos="720"/>
        </w:tabs>
        <w:spacing w:after="120" w:line="480" w:lineRule="auto"/>
        <w:ind w:left="720" w:hanging="720"/>
      </w:pPr>
      <w:r>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w:t>
      </w:r>
      <w:proofErr w:type="spellStart"/>
      <w:r>
        <w:t>stormersite</w:t>
      </w:r>
      <w:proofErr w:type="spellEnd"/>
      <w:r>
        <w:t xml:space="preserv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lastRenderedPageBreak/>
        <w:t>27.</w:t>
      </w:r>
      <w:r>
        <w:tab/>
        <w:t xml:space="preserve">Beginning on September 5, </w:t>
      </w:r>
      <w:proofErr w:type="gramStart"/>
      <w:r>
        <w:t>2024</w:t>
      </w:r>
      <w:proofErr w:type="gramEnd"/>
      <w:r>
        <w:t xml:space="preserve">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w:t>
      </w:r>
      <w:r>
        <w:lastRenderedPageBreak/>
        <w:t>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r>
      <w:r>
        <w:tab/>
        <w:t xml:space="preserve">The appraisal proceeded under § 65A.01. Plaintiffs' appraiser was John Foster, who was selected and retained through contractor Pure Construction; Plaintiffs did </w:t>
      </w:r>
      <w:r>
        <w:lastRenderedPageBreak/>
        <w:t xml:space="preserve">not select, interview, or vet Mr. Foster, and Plaintiffs were asked not to speak with any member of the appraisal panel before, during, or after the September 12, </w:t>
      </w:r>
      <w:proofErr w:type="gramStart"/>
      <w:r>
        <w:t>2025</w:t>
      </w:r>
      <w:proofErr w:type="gramEnd"/>
      <w:r>
        <w:t xml:space="preserve"> inspection. Defendant's appraiser was Greg Tomes. The umpire was Wade </w:t>
      </w:r>
      <w:proofErr w:type="spellStart"/>
      <w:r>
        <w:t>Roos</w:t>
      </w:r>
      <w:proofErr w:type="spellEnd"/>
      <w:r>
        <w:t xml:space="preserve">. The September 12, </w:t>
      </w:r>
      <w:proofErr w:type="gramStart"/>
      <w:r>
        <w:t>2025</w:t>
      </w:r>
      <w:proofErr w:type="gramEnd"/>
      <w:r>
        <w:t xml:space="preserve"> Appraisal Award, signed by Wade </w:t>
      </w:r>
      <w:proofErr w:type="spellStart"/>
      <w:r>
        <w:t>Roos</w:t>
      </w:r>
      <w:proofErr w:type="spellEnd"/>
      <w:r>
        <w:t xml:space="preserve"> and John Foster, awarded “Windows (F1.7 / B1.2)” at a Replacement Cost Value of $12,800 and Actual Cash Value of $6,400. Both siding items received $0. Greg Tomes did not sign.</w:t>
      </w:r>
    </w:p>
    <w:p w14:paraId="457803E4"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w:t>
      </w:r>
      <w:proofErr w:type="gramStart"/>
      <w:r>
        <w:t>lump-sum</w:t>
      </w:r>
      <w:proofErr w:type="gramEnd"/>
      <w:r>
        <w:t xml:space="preserve">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lastRenderedPageBreak/>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w:t>
      </w:r>
      <w:proofErr w:type="gramStart"/>
      <w:r>
        <w:t>2025</w:t>
      </w:r>
      <w:proofErr w:type="gramEnd"/>
      <w:r>
        <w:t xml:space="preserve"> correspondence correcting the September 18, </w:t>
      </w:r>
      <w:proofErr w:type="gramStart"/>
      <w:r>
        <w:t>2025</w:t>
      </w:r>
      <w:proofErr w:type="gramEnd"/>
      <w:r>
        <w:t xml:space="preserve"> description of the award, Defendant's transmittal of the appraiser's position stated that the damage to the front dining-room window “was from the prior claim,” and on that basis the dining-room window was not included in the September 12, </w:t>
      </w:r>
      <w:proofErr w:type="gramStart"/>
      <w:r>
        <w:t>2025</w:t>
      </w:r>
      <w:proofErr w:type="gramEnd"/>
      <w:r>
        <w:t xml:space="preserve"> award. The front dining-room window is a three-sash window. On information and belief, only one of its three sashes was within the scope of Defendant's 2020 claim payment (claim 3013539499-1); the remaining two sashes sustained new dents from the July 13, </w:t>
      </w:r>
      <w:proofErr w:type="gramStart"/>
      <w:r>
        <w:t>2024</w:t>
      </w:r>
      <w:proofErr w:type="gramEnd"/>
      <w:r>
        <w:t xml:space="preserve">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w:t>
      </w:r>
      <w:r>
        <w:lastRenderedPageBreak/>
        <w:t>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w:t>
      </w:r>
      <w:proofErr w:type="gramStart"/>
      <w:r>
        <w:t>award</w:t>
      </w:r>
      <w:proofErr w:type="gramEnd"/>
      <w:r>
        <w:t xml:space="preserve">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t>
      </w:r>
      <w:r>
        <w:lastRenderedPageBreak/>
        <w:t>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r>
      <w:r>
        <w:tab/>
        <w:t xml:space="preserve">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w:t>
      </w:r>
      <w:proofErr w:type="gramStart"/>
      <w:r>
        <w:t>2025</w:t>
      </w:r>
      <w:proofErr w:type="gramEnd"/>
      <w:r>
        <w:t xml:space="preserve">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r>
      <w:r>
        <w:tab/>
        <w:t xml:space="preserve">Semco Windows and Doors ceased operations on December 31, 2019. Sierra Pacific Windows acquired Semco's operating assets in February 2020 and did not </w:t>
      </w:r>
      <w:r>
        <w:lastRenderedPageBreak/>
        <w:t>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r>
      <w:r>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r>
      <w:r>
        <w:tab/>
        <w:t>Plaintiffs performed all conditions precedent.</w:t>
      </w:r>
    </w:p>
    <w:p w14:paraId="57AE4805"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w:t>
      </w:r>
      <w:proofErr w:type="gramStart"/>
      <w:r>
        <w:t>2025</w:t>
      </w:r>
      <w:proofErr w:type="gramEnd"/>
      <w:r>
        <w:t xml:space="preserve"> appraisal award is binding under Minn. Stat. § 65A.01, Subd. 3 as to the matters it determined, including the panel's finding that hail caused the loss to the windows it awarded. Under </w:t>
      </w:r>
      <w:r>
        <w:rPr>
          <w:i/>
          <w:iCs/>
        </w:rPr>
        <w:t>Quade v. Secura Insurance</w:t>
      </w:r>
      <w:r>
        <w:t xml:space="preserve">, 814 N.W.2d </w:t>
      </w:r>
      <w:r>
        <w:lastRenderedPageBreak/>
        <w:t>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r>
      <w:r>
        <w:tab/>
      </w:r>
      <w:r>
        <w:rPr>
          <w:b/>
          <w:bCs/>
        </w:rPr>
        <w:t xml:space="preserve">The September 12, </w:t>
      </w:r>
      <w:proofErr w:type="gramStart"/>
      <w:r>
        <w:rPr>
          <w:b/>
          <w:bCs/>
        </w:rPr>
        <w:t>2025</w:t>
      </w:r>
      <w:proofErr w:type="gramEnd"/>
      <w:r>
        <w:rPr>
          <w:b/>
          <w:bCs/>
        </w:rPr>
        <w:t xml:space="preserve">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w:t>
      </w:r>
      <w:r>
        <w:lastRenderedPageBreak/>
        <w:t xml:space="preserve">(photographs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w:t>
      </w:r>
      <w:proofErr w:type="gramStart"/>
      <w:r>
        <w:t>actually evaluated</w:t>
      </w:r>
      <w:proofErr w:type="gramEnd"/>
      <w:r>
        <w:t xml:space="preserve">.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w:t>
      </w:r>
      <w:proofErr w:type="gramStart"/>
      <w:r>
        <w:t>actually evaluated</w:t>
      </w:r>
      <w:proofErr w:type="gramEnd"/>
      <w:r>
        <w:t xml:space="preserve">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w:t>
      </w:r>
      <w:r>
        <w:lastRenderedPageBreak/>
        <w:t>on a different window or sash is, on Defendant's own baseline, new post-2020 damage for which no prior payment was made. In addition: (</w:t>
      </w:r>
      <w:proofErr w:type="spellStart"/>
      <w:r>
        <w:t>i</w:t>
      </w:r>
      <w:proofErr w:type="spellEnd"/>
      <w:r>
        <w:t>)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w:t>
      </w:r>
      <w:proofErr w:type="gramStart"/>
      <w:r>
        <w:t>2025</w:t>
      </w:r>
      <w:proofErr w:type="gramEnd"/>
      <w:r>
        <w:t xml:space="preserve"> Demand for Appraisal listed three items: Windows, Siding (repaint), and Siding (R&amp;R). The Demand did not include downspouts, flashing other than wall-base flashing tied to siding, or exterior doors. The </w:t>
      </w:r>
      <w:r>
        <w:lastRenderedPageBreak/>
        <w:t xml:space="preserve">appraisal panel therefore had no jurisdiction over those components, and the September 12, </w:t>
      </w:r>
      <w:proofErr w:type="gramStart"/>
      <w:r>
        <w:t>2025</w:t>
      </w:r>
      <w:proofErr w:type="gramEnd"/>
      <w:r>
        <w:t xml:space="preserve"> award could not and did not address them. The Prieve report's Photo Appendix A nevertheless documents (</w:t>
      </w:r>
      <w:proofErr w:type="spellStart"/>
      <w:r>
        <w:t>i</w:t>
      </w:r>
      <w:proofErr w:type="spellEnd"/>
      <w:r>
        <w:t>)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w:t>
      </w:r>
      <w:r>
        <w:lastRenderedPageBreak/>
        <w:t>2012). Any such coverage-based determination is not final or binding, and the coverage question for each such window or item is decided by the Court de novo under this Count.</w:t>
      </w:r>
    </w:p>
    <w:p w14:paraId="21AD4A63"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00B7D47" w14:textId="77777777" w:rsidR="009D356D" w:rsidRDefault="00000000">
      <w:pPr>
        <w:tabs>
          <w:tab w:val="left" w:pos="720"/>
        </w:tabs>
        <w:spacing w:after="120" w:line="480" w:lineRule="auto"/>
        <w:ind w:left="720" w:hanging="720"/>
      </w:pPr>
      <w:r>
        <w:lastRenderedPageBreak/>
        <w:t>52.</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w:t>
      </w:r>
      <w:r>
        <w:lastRenderedPageBreak/>
        <w:t>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53.</w:t>
      </w:r>
      <w:r>
        <w:tab/>
        <w:t xml:space="preserve">As a direct and proximate result of Defendant's breach, Plaintiffs have suffered damages </w:t>
      </w:r>
      <w:proofErr w:type="gramStart"/>
      <w:r>
        <w:t>in excess of</w:t>
      </w:r>
      <w:proofErr w:type="gramEnd"/>
      <w:r>
        <w:t xml:space="preserve">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54.</w:t>
      </w:r>
      <w:r>
        <w:tab/>
        <w:t>Plaintiffs reallege and incorporate paragraphs 1 through 53 above.</w:t>
      </w:r>
    </w:p>
    <w:p w14:paraId="3A09B6C6" w14:textId="77777777" w:rsidR="009D356D" w:rsidRDefault="00000000">
      <w:pPr>
        <w:tabs>
          <w:tab w:val="left" w:pos="720"/>
        </w:tabs>
        <w:spacing w:after="120" w:line="480" w:lineRule="auto"/>
        <w:ind w:left="720" w:hanging="720"/>
      </w:pPr>
      <w:r>
        <w:t>55.</w:t>
      </w:r>
      <w:r>
        <w:tab/>
        <w:t xml:space="preserve">A justiciable controversy exists between Plaintiffs and Defendant under Policy 98055-49-65 with respect to the July 13, </w:t>
      </w:r>
      <w:proofErr w:type="gramStart"/>
      <w:r>
        <w:t>2024</w:t>
      </w:r>
      <w:proofErr w:type="gramEnd"/>
      <w:r>
        <w:t xml:space="preserve">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56.</w:t>
      </w:r>
      <w:r>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r>
      <w:r>
        <w:tab/>
        <w:t xml:space="preserve">The July 13, </w:t>
      </w:r>
      <w:proofErr w:type="gramStart"/>
      <w:r>
        <w:t>2024</w:t>
      </w:r>
      <w:proofErr w:type="gramEnd"/>
      <w:r>
        <w:t xml:space="preserve">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lastRenderedPageBreak/>
        <w:t>(b)</w:t>
      </w:r>
      <w:r>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r>
      <w:r>
        <w:tab/>
        <w:t xml:space="preserve">The September 12, </w:t>
      </w:r>
      <w:proofErr w:type="gramStart"/>
      <w:r>
        <w:t>2025</w:t>
      </w:r>
      <w:proofErr w:type="gramEnd"/>
      <w:r>
        <w:t xml:space="preserve">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 xml:space="preserve">Atwater Creamery Co. v. Western </w:t>
      </w:r>
      <w:proofErr w:type="spellStart"/>
      <w:r>
        <w:rPr>
          <w:i/>
          <w:iCs/>
        </w:rPr>
        <w:t>Nat'l</w:t>
      </w:r>
      <w:proofErr w:type="spellEnd"/>
      <w:r>
        <w:rPr>
          <w:i/>
          <w:iCs/>
        </w:rPr>
        <w:t xml:space="preserve"> Mut. Ins. Co.</w:t>
      </w:r>
      <w:r>
        <w:t>, 366 N.W.2d 271 (Minn. 1985).</w:t>
      </w:r>
    </w:p>
    <w:p w14:paraId="1489A18E"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w:t>
      </w:r>
      <w:r>
        <w:lastRenderedPageBreak/>
        <w:t xml:space="preserve">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r>
      <w:r>
        <w:tab/>
        <w:t xml:space="preserve">With respect to the windows the September 12, </w:t>
      </w:r>
      <w:proofErr w:type="gramStart"/>
      <w:r>
        <w:t>2025</w:t>
      </w:r>
      <w:proofErr w:type="gramEnd"/>
      <w:r>
        <w:t xml:space="preserve"> appraisal award evaluated, Defendant is bound by the panel's hail-causation finding and may not reassert in this action the exclusions cited in its November 4, </w:t>
      </w:r>
      <w:proofErr w:type="gramStart"/>
      <w:r>
        <w:t>2024</w:t>
      </w:r>
      <w:proofErr w:type="gramEnd"/>
      <w:r>
        <w:t xml:space="preserve"> denial as to those windows.</w:t>
      </w:r>
    </w:p>
    <w:p w14:paraId="5EE0351A" w14:textId="77777777" w:rsidR="009D356D" w:rsidRDefault="00000000">
      <w:pPr>
        <w:tabs>
          <w:tab w:val="left" w:pos="1440"/>
        </w:tabs>
        <w:spacing w:after="120" w:line="480" w:lineRule="auto"/>
        <w:ind w:left="1440" w:hanging="720"/>
      </w:pPr>
      <w:r>
        <w:t>(g)</w:t>
      </w:r>
      <w:r>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w:t>
      </w:r>
      <w:r>
        <w:lastRenderedPageBreak/>
        <w:t>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r>
      <w:r>
        <w:tab/>
        <w:t xml:space="preserve">A prior insurance-claim payment that covered one sash of the front dining-room window does not bar coverage for hail damage sustained on July 13, </w:t>
      </w:r>
      <w:proofErr w:type="gramStart"/>
      <w:r>
        <w:t>2024</w:t>
      </w:r>
      <w:proofErr w:type="gramEnd"/>
      <w:r>
        <w:t xml:space="preserve"> by other, previously unpaid sashes of the same window. Any exclusion of that window from the September 12, </w:t>
      </w:r>
      <w:proofErr w:type="gramStart"/>
      <w:r>
        <w:t>2025</w:t>
      </w:r>
      <w:proofErr w:type="gramEnd"/>
      <w:r>
        <w:t xml:space="preserve">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w:t>
      </w:r>
      <w:proofErr w:type="spellStart"/>
      <w:r>
        <w:t>i</w:t>
      </w:r>
      <w:proofErr w:type="spellEnd"/>
      <w:r>
        <w:t>)</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28E7630A" w14:textId="77777777" w:rsidR="009D356D" w:rsidRDefault="00000000">
      <w:pPr>
        <w:tabs>
          <w:tab w:val="left" w:pos="720"/>
        </w:tabs>
        <w:spacing w:after="120" w:line="480" w:lineRule="auto"/>
        <w:ind w:left="720" w:hanging="720"/>
      </w:pPr>
      <w:r>
        <w:t>57.</w:t>
      </w:r>
      <w:r>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lastRenderedPageBreak/>
        <w:t>58.</w:t>
      </w:r>
      <w:r>
        <w:tab/>
        <w:t xml:space="preserve">Plaintiffs reallege and incorporate paragraphs 1 through 57 above. This Count is pleaded in the alternative under Minn. R. Civ. P. 8.05, and the Court need reach it only to the extent it treats the September 12, </w:t>
      </w:r>
      <w:proofErr w:type="gramStart"/>
      <w:r>
        <w:t>2025</w:t>
      </w:r>
      <w:proofErr w:type="gramEnd"/>
      <w:r>
        <w:t xml:space="preserve"> appraisal award as a barrier to relief under Count I.</w:t>
      </w:r>
    </w:p>
    <w:p w14:paraId="6A5E2CEB" w14:textId="77777777" w:rsidR="009D356D" w:rsidRDefault="00000000">
      <w:pPr>
        <w:tabs>
          <w:tab w:val="left" w:pos="720"/>
        </w:tabs>
        <w:spacing w:after="120" w:line="480" w:lineRule="auto"/>
        <w:ind w:left="720" w:hanging="720"/>
      </w:pPr>
      <w:r>
        <w:t>59.</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w:t>
      </w:r>
      <w:proofErr w:type="gramStart"/>
      <w:r>
        <w:t>2025</w:t>
      </w:r>
      <w:proofErr w:type="gramEnd"/>
      <w:r>
        <w:t xml:space="preserve"> award identifies the awarded windows only by the undefined designations “F1.7” and “B1.2” against a single </w:t>
      </w:r>
      <w:proofErr w:type="gramStart"/>
      <w:r>
        <w:t>lump-sum</w:t>
      </w:r>
      <w:proofErr w:type="gramEnd"/>
      <w:r>
        <w:t xml:space="preserve"> $12,800 Replacement Cost Value and $6,400 Actual Cash Value. The award does not state actual value and loss separately to each </w:t>
      </w:r>
      <w:proofErr w:type="gramStart"/>
      <w:r>
        <w:t>item, and</w:t>
      </w:r>
      <w:proofErr w:type="gramEnd"/>
      <w:r>
        <w:t xml:space="preserve"> is not “so itemized” within the meaning of the statute.</w:t>
      </w:r>
    </w:p>
    <w:p w14:paraId="39EE3573" w14:textId="77777777" w:rsidR="009D356D" w:rsidRDefault="00000000">
      <w:pPr>
        <w:tabs>
          <w:tab w:val="left" w:pos="720"/>
        </w:tabs>
        <w:spacing w:after="120" w:line="480" w:lineRule="auto"/>
        <w:ind w:left="720" w:hanging="720"/>
      </w:pPr>
      <w:r>
        <w:t>60.</w:t>
      </w:r>
      <w:r>
        <w:tab/>
      </w:r>
      <w:r>
        <w:rPr>
          <w:b/>
          <w:bCs/>
        </w:rPr>
        <w:t>Statutory non-itemization — the $0 siding lines.</w:t>
      </w:r>
      <w:r>
        <w:t xml:space="preserve"> The September 12, </w:t>
      </w:r>
      <w:proofErr w:type="gramStart"/>
      <w:r>
        <w:t>2025</w:t>
      </w:r>
      <w:proofErr w:type="gramEnd"/>
      <w:r>
        <w:t xml:space="preserve"> award lists two siding-related items at $0 Replacement Cost Value and $0 Actual Cash Value. The award does not identify which siding observations the panel evaluated; whether the panel evaluated the documented trim board chips photographed at A-53 (which the Prieve report itself acknowledges is “visible in prior photo logs from Farmers Insurance dated October 13, 2020”), A-90, and A-148; or whether the panel evaluated the documented dented flashing at A-103, A-128, and A-129. An award of $0 on items the Prieve report's own Photo Appendix A documents in its captions, without identification of any methodology, valuation basis, or even </w:t>
      </w:r>
      <w:r>
        <w:lastRenderedPageBreak/>
        <w:t>which observations the panel considered, is not the substantive appraisal of value § 65A.01, Subd. 3 contemplates.</w:t>
      </w:r>
    </w:p>
    <w:p w14:paraId="02853CD8" w14:textId="77777777" w:rsidR="009D356D" w:rsidRDefault="00000000">
      <w:pPr>
        <w:tabs>
          <w:tab w:val="left" w:pos="720"/>
        </w:tabs>
        <w:spacing w:after="120" w:line="480" w:lineRule="auto"/>
        <w:ind w:left="720" w:hanging="720"/>
      </w:pPr>
      <w:r>
        <w:t>61.</w:t>
      </w:r>
      <w:r>
        <w:tab/>
      </w:r>
      <w:r>
        <w:rPr>
          <w:b/>
          <w:bCs/>
        </w:rPr>
        <w:t>Non-itemization and improper exclusion — the front dining-room window.</w:t>
      </w:r>
      <w:r>
        <w:t xml:space="preserve"> The September 12, </w:t>
      </w:r>
      <w:proofErr w:type="gramStart"/>
      <w:r>
        <w:t>2025</w:t>
      </w:r>
      <w:proofErr w:type="gramEnd"/>
      <w:r>
        <w:t xml:space="preserve">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proofErr w:type="gramStart"/>
      <w:r>
        <w:t>2024</w:t>
      </w:r>
      <w:proofErr w:type="gramEnd"/>
      <w:r>
        <w:t xml:space="preserve">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62.</w:t>
      </w:r>
      <w:r>
        <w:tab/>
      </w:r>
      <w:r>
        <w:rPr>
          <w:b/>
          <w:bCs/>
        </w:rPr>
        <w:t>Primary requested relief — declaration of non-preclusion.</w:t>
      </w:r>
      <w:r>
        <w:t xml:space="preserve"> Plaintiffs request a declaration that the September 12, </w:t>
      </w:r>
      <w:proofErr w:type="gramStart"/>
      <w:r>
        <w:t>2025</w:t>
      </w:r>
      <w:proofErr w:type="gramEnd"/>
      <w:r>
        <w:t xml:space="preserve">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w:t>
      </w:r>
      <w:r>
        <w:lastRenderedPageBreak/>
        <w:t xml:space="preserve">contend it is a partial determination that binds as to what it itemized and </w:t>
      </w:r>
      <w:proofErr w:type="gramStart"/>
      <w:r>
        <w:t>decided, and</w:t>
      </w:r>
      <w:proofErr w:type="gramEnd"/>
      <w:r>
        <w:t xml:space="preserve"> is non-preclusive as to everything it did not.</w:t>
      </w:r>
    </w:p>
    <w:p w14:paraId="48BBEA8B" w14:textId="77777777" w:rsidR="009D356D" w:rsidRDefault="00000000">
      <w:pPr>
        <w:tabs>
          <w:tab w:val="left" w:pos="720"/>
        </w:tabs>
        <w:spacing w:after="120" w:line="480" w:lineRule="auto"/>
        <w:ind w:left="720" w:hanging="720"/>
      </w:pPr>
      <w:r>
        <w:t>63.</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64.</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proofErr w:type="spellStart"/>
      <w:r>
        <w:rPr>
          <w:i/>
          <w:iCs/>
        </w:rPr>
        <w:t>Herll</w:t>
      </w:r>
      <w:proofErr w:type="spellEnd"/>
      <w:r>
        <w:rPr>
          <w:i/>
          <w:iCs/>
        </w:rPr>
        <w:t xml:space="preserve">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r>
      <w:r>
        <w:tab/>
        <w:t xml:space="preserve">identify each window or item within the scope of the panel's evaluation by location, elevation, sash count, and manufacturer </w:t>
      </w:r>
      <w:proofErr w:type="gramStart"/>
      <w:r>
        <w:t>stamp;</w:t>
      </w:r>
      <w:proofErr w:type="gramEnd"/>
    </w:p>
    <w:p w14:paraId="10D441E6" w14:textId="77777777" w:rsidR="009D356D" w:rsidRDefault="00000000">
      <w:pPr>
        <w:tabs>
          <w:tab w:val="left" w:pos="1440"/>
        </w:tabs>
        <w:spacing w:after="120" w:line="480" w:lineRule="auto"/>
        <w:ind w:left="1440" w:hanging="720"/>
      </w:pPr>
      <w:r>
        <w:t>(b)</w:t>
      </w:r>
      <w:r>
        <w:tab/>
        <w:t xml:space="preserve">state separately the actual cash value and replacement cost value attributable to each such window or item, and, for any multi-sash window, to each </w:t>
      </w:r>
      <w:proofErr w:type="gramStart"/>
      <w:r>
        <w:t>sash;</w:t>
      </w:r>
      <w:proofErr w:type="gramEnd"/>
    </w:p>
    <w:p w14:paraId="39F0D6CB" w14:textId="77777777" w:rsidR="009D356D" w:rsidRDefault="00000000">
      <w:pPr>
        <w:tabs>
          <w:tab w:val="left" w:pos="1440"/>
        </w:tabs>
        <w:spacing w:after="120" w:line="480" w:lineRule="auto"/>
        <w:ind w:left="1440" w:hanging="720"/>
      </w:pPr>
      <w:r>
        <w:t>(c)</w:t>
      </w:r>
      <w:r>
        <w:tab/>
        <w:t xml:space="preserve">identify any window or item Plaintiffs submitted for appraisal that the panel did not evaluate, with a brief statement of the </w:t>
      </w:r>
      <w:proofErr w:type="gramStart"/>
      <w:r>
        <w:t>reason;</w:t>
      </w:r>
      <w:proofErr w:type="gramEnd"/>
    </w:p>
    <w:p w14:paraId="676CF319" w14:textId="77777777" w:rsidR="009D356D" w:rsidRDefault="00000000">
      <w:pPr>
        <w:tabs>
          <w:tab w:val="left" w:pos="1440"/>
        </w:tabs>
        <w:spacing w:after="120" w:line="480" w:lineRule="auto"/>
        <w:ind w:left="1440" w:hanging="720"/>
      </w:pPr>
      <w:r>
        <w:lastRenderedPageBreak/>
        <w:t>(d)</w:t>
      </w:r>
      <w:r>
        <w:tab/>
        <w:t>for each window or item the panel did evaluate but for which it awarded $0 or which it did not include in the award, state separately, item by item: (</w:t>
      </w:r>
      <w:proofErr w:type="spellStart"/>
      <w:r>
        <w:t>i</w:t>
      </w:r>
      <w:proofErr w:type="spellEnd"/>
      <w:r>
        <w:t>)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r>
      <w:r>
        <w:tab/>
        <w:t xml:space="preserve">for any sash or window excluded on the ground of a prior claim, identify the prior claim, the specific sash or sashes the panel understood to have been previously paid, and whether the panel independently evaluated the July 13, </w:t>
      </w:r>
      <w:proofErr w:type="gramStart"/>
      <w:r>
        <w:t>2024</w:t>
      </w:r>
      <w:proofErr w:type="gramEnd"/>
      <w:r>
        <w:t xml:space="preserve"> damage to any sash not previously paid.</w:t>
      </w:r>
    </w:p>
    <w:p w14:paraId="5C791BB3" w14:textId="77777777" w:rsidR="009D356D" w:rsidRDefault="00000000">
      <w:pPr>
        <w:tabs>
          <w:tab w:val="left" w:pos="720"/>
        </w:tabs>
        <w:spacing w:after="120" w:line="480" w:lineRule="auto"/>
        <w:ind w:left="720" w:hanging="720"/>
      </w:pPr>
      <w:r>
        <w:t>65.</w:t>
      </w:r>
      <w:r>
        <w:tab/>
      </w:r>
      <w:r>
        <w:rPr>
          <w:b/>
          <w:bCs/>
        </w:rPr>
        <w:t>Final alternative — vacatur.</w:t>
      </w:r>
      <w:r>
        <w:t xml:space="preserve"> Only to the extent the foregoing relief is unavailable or insufficient, Plaintiffs request that the Court vacate the award under </w:t>
      </w:r>
      <w:r>
        <w:rPr>
          <w:i/>
          <w:iCs/>
        </w:rPr>
        <w:lastRenderedPageBreak/>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66.</w:t>
      </w:r>
      <w:r>
        <w:tab/>
        <w:t>Plaintiffs reallege and incorporate paragraphs 1 through 65 above.</w:t>
      </w:r>
    </w:p>
    <w:p w14:paraId="79FCEF74" w14:textId="77777777" w:rsidR="009D356D" w:rsidRDefault="00000000">
      <w:pPr>
        <w:tabs>
          <w:tab w:val="left" w:pos="720"/>
        </w:tabs>
        <w:spacing w:after="120" w:line="480" w:lineRule="auto"/>
        <w:ind w:left="720" w:hanging="720"/>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68.</w:t>
      </w:r>
      <w:r>
        <w:tab/>
        <w:t>The prohibited conduct includes, without limitation:</w:t>
      </w:r>
    </w:p>
    <w:p w14:paraId="498427B4" w14:textId="77777777" w:rsidR="009D356D" w:rsidRDefault="00000000">
      <w:pPr>
        <w:tabs>
          <w:tab w:val="left" w:pos="1440"/>
        </w:tabs>
        <w:spacing w:after="120" w:line="480" w:lineRule="auto"/>
        <w:ind w:left="1440" w:hanging="720"/>
      </w:pPr>
      <w:r>
        <w:t>a.</w:t>
      </w:r>
      <w:r>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w:t>
      </w:r>
      <w:r>
        <w:lastRenderedPageBreak/>
        <w:t>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r>
      <w:r>
        <w:tab/>
        <w:t xml:space="preserve">The November 4, </w:t>
      </w:r>
      <w:proofErr w:type="gramStart"/>
      <w:r>
        <w:t>2024</w:t>
      </w:r>
      <w:proofErr w:type="gramEnd"/>
      <w:r>
        <w:t xml:space="preserve"> written denial's adoption and transmission of the Prieve Engineering report's representation that “the most recent hail in Eden Prairie reported in 2020,” objectively disprovable on public records before the denial issued and directly contradicted by Defendant's own September 12, </w:t>
      </w:r>
      <w:proofErr w:type="gramStart"/>
      <w:r>
        <w:t>2025</w:t>
      </w:r>
      <w:proofErr w:type="gramEnd"/>
      <w:r>
        <w:t xml:space="preserve"> appraisal </w:t>
      </w:r>
      <w:proofErr w:type="gramStart"/>
      <w:r>
        <w:t>award;</w:t>
      </w:r>
      <w:proofErr w:type="gramEnd"/>
    </w:p>
    <w:p w14:paraId="43D1B617" w14:textId="77777777" w:rsidR="009D356D" w:rsidRDefault="00000000">
      <w:pPr>
        <w:tabs>
          <w:tab w:val="left" w:pos="1440"/>
        </w:tabs>
        <w:spacing w:after="120" w:line="480" w:lineRule="auto"/>
        <w:ind w:left="1440" w:hanging="720"/>
      </w:pPr>
      <w:r>
        <w:t>c.</w:t>
      </w:r>
      <w:r>
        <w:tab/>
        <w:t xml:space="preserve">The supervisor- and adjuster-level imposition in February 2025 of an “engineer's report only” evidentiary gate found nowhere in Policy 98055-49-65, used to reject Plaintiffs' supplemental evidence without </w:t>
      </w:r>
      <w:proofErr w:type="gramStart"/>
      <w:r>
        <w:t>review;</w:t>
      </w:r>
      <w:proofErr w:type="gramEnd"/>
    </w:p>
    <w:p w14:paraId="5F43621A" w14:textId="77777777" w:rsidR="009D356D" w:rsidRDefault="00000000">
      <w:pPr>
        <w:tabs>
          <w:tab w:val="left" w:pos="1440"/>
        </w:tabs>
        <w:spacing w:after="120" w:line="480" w:lineRule="auto"/>
        <w:ind w:left="1440" w:hanging="720"/>
      </w:pPr>
      <w:r>
        <w:t>d.</w:t>
      </w:r>
      <w:r>
        <w:tab/>
        <w:t xml:space="preserve">The September 18, 2025, September 19, 2025, and October 14, </w:t>
      </w:r>
      <w:proofErr w:type="gramStart"/>
      <w:r>
        <w:t>2025</w:t>
      </w:r>
      <w:proofErr w:type="gramEnd"/>
      <w:r>
        <w:t xml:space="preserve"> mutually inconsistent written descriptions of the September 12, </w:t>
      </w:r>
      <w:proofErr w:type="gramStart"/>
      <w:r>
        <w:t>2025</w:t>
      </w:r>
      <w:proofErr w:type="gramEnd"/>
      <w:r>
        <w:t xml:space="preserve"> award's </w:t>
      </w:r>
      <w:proofErr w:type="gramStart"/>
      <w:r>
        <w:t>scope;</w:t>
      </w:r>
      <w:proofErr w:type="gramEnd"/>
    </w:p>
    <w:p w14:paraId="37175FCE" w14:textId="77777777" w:rsidR="009D356D" w:rsidRDefault="00000000">
      <w:pPr>
        <w:tabs>
          <w:tab w:val="left" w:pos="1440"/>
        </w:tabs>
        <w:spacing w:after="120" w:line="480" w:lineRule="auto"/>
        <w:ind w:left="1440" w:hanging="720"/>
      </w:pPr>
      <w:r>
        <w:t>e.</w:t>
      </w:r>
      <w:r>
        <w:tab/>
        <w:t xml:space="preserve">The October 21, </w:t>
      </w:r>
      <w:proofErr w:type="gramStart"/>
      <w:r>
        <w:t>2025</w:t>
      </w:r>
      <w:proofErr w:type="gramEnd"/>
      <w:r>
        <w:t xml:space="preserve"> referral of Plaintiffs to their own appraiser as the source of any explanation of the gap between the awarded scope (two windows) and the photographic record of damage (most of the home's </w:t>
      </w:r>
      <w:r>
        <w:lastRenderedPageBreak/>
        <w:t xml:space="preserve">windows), accompanied by Defendant's confirmation that the umpire produced no report or </w:t>
      </w:r>
      <w:proofErr w:type="gramStart"/>
      <w:r>
        <w:t>estimate;</w:t>
      </w:r>
      <w:proofErr w:type="gramEnd"/>
    </w:p>
    <w:p w14:paraId="16C32BF1" w14:textId="77777777" w:rsidR="009D356D" w:rsidRDefault="00000000">
      <w:pPr>
        <w:tabs>
          <w:tab w:val="left" w:pos="1440"/>
        </w:tabs>
        <w:spacing w:after="120" w:line="480" w:lineRule="auto"/>
        <w:ind w:left="1440" w:hanging="720"/>
      </w:pPr>
      <w:r>
        <w:t>f.</w:t>
      </w:r>
      <w:r>
        <w:tab/>
        <w:t xml:space="preserve">The September 19, </w:t>
      </w:r>
      <w:proofErr w:type="gramStart"/>
      <w:r>
        <w:t>2025</w:t>
      </w:r>
      <w:proofErr w:type="gramEnd"/>
      <w:r>
        <w:t xml:space="preserve"> attribution of the entire front dining-room window's damage to “the prior claim,” when, on information and belief, only one of that three-sash window's sashes was within the 2020 claim </w:t>
      </w:r>
      <w:proofErr w:type="gramStart"/>
      <w:r>
        <w:t>payment;</w:t>
      </w:r>
      <w:proofErr w:type="gramEnd"/>
    </w:p>
    <w:p w14:paraId="587988AD" w14:textId="77777777" w:rsidR="009D356D" w:rsidRDefault="00000000">
      <w:pPr>
        <w:tabs>
          <w:tab w:val="left" w:pos="1440"/>
        </w:tabs>
        <w:spacing w:after="120" w:line="480" w:lineRule="auto"/>
        <w:ind w:left="1440" w:hanging="720"/>
      </w:pPr>
      <w:r>
        <w:t>g.</w:t>
      </w:r>
      <w:r>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69.</w:t>
      </w:r>
      <w:r>
        <w:tab/>
        <w:t xml:space="preserve">Each act and the course of conduct </w:t>
      </w:r>
      <w:proofErr w:type="gramStart"/>
      <w:r>
        <w:t>as a whole was</w:t>
      </w:r>
      <w:proofErr w:type="gramEnd"/>
      <w:r>
        <w:t xml:space="preserve">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w:t>
      </w:r>
      <w:proofErr w:type="gramStart"/>
      <w:r>
        <w:t>2023</w:t>
      </w:r>
      <w:proofErr w:type="gramEnd"/>
      <w:r>
        <w:t xml:space="preserve"> through October 22, </w:t>
      </w:r>
      <w:r>
        <w:lastRenderedPageBreak/>
        <w:t xml:space="preserve">2024, and in connection with Defendant's continuing collection of </w:t>
      </w:r>
      <w:proofErr w:type="gramStart"/>
      <w:r>
        <w:t>premium</w:t>
      </w:r>
      <w:proofErr w:type="gramEnd"/>
      <w:r>
        <w:t xml:space="preserve">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70.</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71.</w:t>
      </w:r>
      <w:r>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w:t>
      </w:r>
      <w:r>
        <w:lastRenderedPageBreak/>
        <w:t>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w:t>
      </w:r>
      <w:proofErr w:type="gramStart"/>
      <w:r>
        <w:t>in excess of</w:t>
      </w:r>
      <w:proofErr w:type="gramEnd"/>
      <w:r>
        <w:t xml:space="preserve"> $50,000, in an amount to be proven at trial.</w:t>
      </w:r>
    </w:p>
    <w:p w14:paraId="75F7D85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56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lastRenderedPageBreak/>
        <w:t>C.</w:t>
      </w:r>
      <w:r>
        <w:rPr>
          <w:b/>
          <w:bCs/>
        </w:rPr>
        <w:tab/>
        <w:t>On Count III:</w:t>
      </w:r>
      <w:r>
        <w:t xml:space="preserve"> A declaration that the September 12, </w:t>
      </w:r>
      <w:proofErr w:type="gramStart"/>
      <w:r>
        <w:t>2025</w:t>
      </w:r>
      <w:proofErr w:type="gramEnd"/>
      <w:r>
        <w:t xml:space="preserve">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proofErr w:type="spellStart"/>
      <w:r>
        <w:rPr>
          <w:i/>
          <w:iCs/>
        </w:rPr>
        <w:t>Herll</w:t>
      </w:r>
      <w:proofErr w:type="spellEnd"/>
      <w:r>
        <w:rPr>
          <w:i/>
          <w:iCs/>
        </w:rPr>
        <w:t xml:space="preserve"> v. Auto-Owners Insurance Co.</w:t>
      </w:r>
      <w:r>
        <w:t xml:space="preserve"> and </w:t>
      </w:r>
      <w:r>
        <w:rPr>
          <w:i/>
          <w:iCs/>
        </w:rPr>
        <w:t>Cincinnati Insurance Co. v. Rymer Cos.</w:t>
      </w:r>
      <w:r>
        <w:t xml:space="preserve"> in the form set forth in paragraph 64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r>
      <w:r>
        <w:rPr>
          <w:b/>
          <w:bCs/>
        </w:rPr>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r>
      <w:r>
        <w:rPr>
          <w:b/>
          <w:bCs/>
        </w:rPr>
        <w:tab/>
      </w:r>
      <w:proofErr w:type="spellStart"/>
      <w:r>
        <w:rPr>
          <w:b/>
          <w:bCs/>
        </w:rPr>
        <w:t>Postjudgment</w:t>
      </w:r>
      <w:proofErr w:type="spellEnd"/>
      <w:r>
        <w:rPr>
          <w:b/>
          <w:bCs/>
        </w:rPr>
        <w:t xml:space="preserve">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lastRenderedPageBreak/>
        <w:t>G.</w:t>
      </w:r>
      <w:r>
        <w:rPr>
          <w:b/>
          <w:bCs/>
        </w:rPr>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r>
      <w:r>
        <w:tab/>
        <w:t>The information included in this Complaint is based on facts and supported by existing law.</w:t>
      </w:r>
    </w:p>
    <w:p w14:paraId="72CDD63B"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r>
      <w:r>
        <w:tab/>
      </w:r>
      <w:proofErr w:type="gramStart"/>
      <w:r>
        <w:t>harass</w:t>
      </w:r>
      <w:proofErr w:type="gramEnd"/>
      <w:r>
        <w:t xml:space="preserve"> </w:t>
      </w:r>
      <w:proofErr w:type="gramStart"/>
      <w:r>
        <w:t>anyone;</w:t>
      </w:r>
      <w:proofErr w:type="gramEnd"/>
    </w:p>
    <w:p w14:paraId="70CAEBBA" w14:textId="77777777" w:rsidR="009D356D" w:rsidRDefault="00000000" w:rsidP="00AC0AFE">
      <w:pPr>
        <w:tabs>
          <w:tab w:val="left" w:pos="1440"/>
        </w:tabs>
        <w:ind w:left="1440" w:hanging="720"/>
      </w:pPr>
      <w:r>
        <w:t>b.</w:t>
      </w:r>
      <w:r>
        <w:tab/>
      </w:r>
      <w:proofErr w:type="gramStart"/>
      <w:r>
        <w:t>cause</w:t>
      </w:r>
      <w:proofErr w:type="gramEnd"/>
      <w:r>
        <w:t xml:space="preserve"> unnecessary delay in the case; or</w:t>
      </w:r>
    </w:p>
    <w:p w14:paraId="33C227EC" w14:textId="77777777" w:rsidR="009D356D" w:rsidRDefault="00000000" w:rsidP="00AC0AFE">
      <w:pPr>
        <w:tabs>
          <w:tab w:val="left" w:pos="1440"/>
        </w:tabs>
        <w:ind w:left="1440" w:hanging="720"/>
      </w:pPr>
      <w:r>
        <w:t>c.</w:t>
      </w:r>
      <w:r>
        <w:tab/>
        <w:t xml:space="preserve">needlessly </w:t>
      </w:r>
      <w:proofErr w:type="gramStart"/>
      <w:r>
        <w:t>increase</w:t>
      </w:r>
      <w:proofErr w:type="gramEnd"/>
      <w:r>
        <w:t xml:space="preserve"> the cost of litigation.</w:t>
      </w:r>
    </w:p>
    <w:p w14:paraId="3A824B0C" w14:textId="77777777" w:rsidR="009D356D" w:rsidRDefault="00000000" w:rsidP="00AC0AFE">
      <w:pPr>
        <w:tabs>
          <w:tab w:val="left" w:pos="720"/>
        </w:tabs>
        <w:ind w:left="720" w:hanging="720"/>
      </w:pPr>
      <w:r>
        <w:t>3.</w:t>
      </w:r>
      <w:r>
        <w:tab/>
        <w:t>No judicial officer has said either Plaintiff is a frivolous litigant.</w:t>
      </w:r>
    </w:p>
    <w:p w14:paraId="3385DBAF" w14:textId="77777777" w:rsidR="009D356D" w:rsidRDefault="00000000" w:rsidP="00AC0AFE">
      <w:pPr>
        <w:tabs>
          <w:tab w:val="left" w:pos="720"/>
        </w:tabs>
        <w:ind w:left="720" w:hanging="720"/>
      </w:pPr>
      <w:r>
        <w:t>4.</w:t>
      </w:r>
      <w:r>
        <w:tab/>
        <w:t>There is no court order preventing Plaintiffs from serving or filing this Complaint.</w:t>
      </w:r>
    </w:p>
    <w:p w14:paraId="314997A0"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lastRenderedPageBreak/>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proofErr w:type="spellStart"/>
      <w:r>
        <w:t>Yibiao</w:t>
      </w:r>
      <w:proofErr w:type="spellEnd"/>
      <w:r>
        <w:t xml:space="preserve">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E69CC" w14:textId="77777777" w:rsidR="00202451" w:rsidRDefault="00202451">
      <w:r>
        <w:separator/>
      </w:r>
    </w:p>
  </w:endnote>
  <w:endnote w:type="continuationSeparator" w:id="0">
    <w:p w14:paraId="080A4159" w14:textId="77777777" w:rsidR="00202451" w:rsidRDefault="0020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0C629" w14:textId="77777777" w:rsidR="00202451" w:rsidRDefault="00202451">
      <w:r>
        <w:separator/>
      </w:r>
    </w:p>
  </w:footnote>
  <w:footnote w:type="continuationSeparator" w:id="0">
    <w:p w14:paraId="4F94F202" w14:textId="77777777" w:rsidR="00202451" w:rsidRDefault="0020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02451"/>
    <w:rsid w:val="003920A7"/>
    <w:rsid w:val="00855093"/>
    <w:rsid w:val="009636EC"/>
    <w:rsid w:val="009D356D"/>
    <w:rsid w:val="00A36096"/>
    <w:rsid w:val="00AC0AFE"/>
    <w:rsid w:val="00C07483"/>
    <w:rsid w:val="00C71B3A"/>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717</TotalTime>
  <Pages>43</Pages>
  <Words>9716</Words>
  <Characters>53343</Characters>
  <Application>Microsoft Office Word</Application>
  <DocSecurity>0</DocSecurity>
  <Lines>935</Lines>
  <Paragraphs>213</Paragraphs>
  <ScaleCrop>false</ScaleCrop>
  <Company/>
  <LinksUpToDate>false</LinksUpToDate>
  <CharactersWithSpaces>62846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9</cp:revision>
  <dcterms:created xsi:type="dcterms:W3CDTF">2026-06-27T11:36:00Z</dcterms:created>
  <dcterms:modified xsi:type="dcterms:W3CDTF">2026-06-28T01:42:00Z</dcterms:modified>
</cp:coreProperties>
</file>