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Yibiao Lu and Jie Hu</w:t>
      </w:r>
      <w:r>
        <w:br/>
      </w:r>
      <w:r>
        <w:t xml:space="preserve">17756 George Moran Dr.</w:t>
      </w:r>
      <w:r>
        <w:br/>
      </w:r>
      <w:r>
        <w:t xml:space="preserve">Eden Prairie, MN 55347</w:t>
      </w:r>
      <w:r>
        <w:br/>
      </w:r>
      <w:r>
        <w:t xml:space="preserve">Telephone: 763-843-2859 | Email:</w:t>
      </w:r>
      <w:r>
        <w:t xml:space="preserve"> </w:t>
      </w:r>
      <w:hyperlink r:id="rId20">
        <w:r>
          <w:rPr>
            <w:rStyle w:val="Hyperlink"/>
          </w:rPr>
          <w:t xml:space="preserve">bill_y_lu@yahoo.com</w:t>
        </w:r>
      </w:hyperlink>
    </w:p>
    <w:p>
      <w:pPr>
        <w:pStyle w:val="BodyText"/>
      </w:pPr>
      <w:r>
        <w:t xml:space="preserve">September ____, 2026</w:t>
      </w:r>
    </w:p>
    <w:p>
      <w:pPr>
        <w:pStyle w:val="BodyText"/>
      </w:pPr>
      <w:r>
        <w:t xml:space="preserve">VIA EMAIL AND U.S. MAIL</w:t>
      </w:r>
    </w:p>
    <w:p>
      <w:pPr>
        <w:pStyle w:val="BodyText"/>
      </w:pPr>
      <w:r>
        <w:t xml:space="preserve">Kevin J. Kennedy, Esq.</w:t>
      </w:r>
      <w:r>
        <w:br/>
      </w:r>
      <w:r>
        <w:t xml:space="preserve">Mary J. Baskfield, Esq.</w:t>
      </w:r>
      <w:r>
        <w:br/>
      </w:r>
      <w:r>
        <w:t xml:space="preserve">Kennedy Law Firm P.C.</w:t>
      </w:r>
      <w:r>
        <w:br/>
      </w:r>
      <w:r>
        <w:t xml:space="preserve">7616 Currell Blvd., Suite 270</w:t>
      </w:r>
      <w:r>
        <w:br/>
      </w:r>
      <w:r>
        <w:t xml:space="preserve">Woodbury, MN 55125</w:t>
      </w:r>
      <w:r>
        <w:br/>
      </w:r>
      <w:hyperlink r:id="rId21">
        <w:r>
          <w:rPr>
            <w:rStyle w:val="Hyperlink"/>
          </w:rPr>
          <w:t xml:space="preserve">kkennedy@kennedylf.com</w:t>
        </w:r>
      </w:hyperlink>
      <w:r>
        <w:t xml:space="preserve">;</w:t>
      </w:r>
      <w:r>
        <w:t xml:space="preserve"> </w:t>
      </w:r>
      <w:hyperlink r:id="rId22">
        <w:r>
          <w:rPr>
            <w:rStyle w:val="Hyperlink"/>
          </w:rPr>
          <w:t xml:space="preserve">mbaskfield@kennedylf.com</w:t>
        </w:r>
      </w:hyperlink>
    </w:p>
    <w:p>
      <w:pPr>
        <w:pStyle w:val="BodyText"/>
      </w:pPr>
      <w:r>
        <w:t xml:space="preserve">Re: Lu and Hu v. Fire Insurance Exchange, Hennepin County District Court, Court File No. 27-CV-26-11606 — Proposed stipulation regarding expert discovery</w:t>
      </w:r>
    </w:p>
    <w:p>
      <w:pPr>
        <w:pStyle w:val="BodyText"/>
      </w:pPr>
      <w:r>
        <w:t xml:space="preserve">Counsel:</w:t>
      </w:r>
    </w:p>
    <w:p>
      <w:pPr>
        <w:pStyle w:val="BodyText"/>
      </w:pPr>
      <w:r>
        <w:t xml:space="preserve">We write to propose a short stipulation on expert discovery, and we raise it now — roughly six months before it matters — because by the time it matters it will be too late to fix.</w:t>
      </w:r>
    </w:p>
    <w:p>
      <w:pPr>
        <w:pStyle w:val="BodyText"/>
      </w:pPr>
      <w:r>
        <w:t xml:space="preserve">The proposal is mutual. It gives Defendant the same thing it gives Plaintiffs, and on the current schedule Defendant arguably needs it more. A draft is enclosed as Attachment A.</w:t>
      </w:r>
    </w:p>
    <w:p>
      <w:r>
        <w:pict>
          <v:rect style="width:0;height:1.5pt" o:hralign="center" o:hrstd="t" o:hr="t"/>
        </w:pict>
      </w:r>
    </w:p>
    <w:p>
      <w:pPr>
        <w:pStyle w:val="FirstParagraph"/>
      </w:pPr>
      <w:r>
        <w:rPr>
          <w:b/>
        </w:rPr>
        <w:t xml:space="preserve">1. The problem</w:t>
      </w:r>
    </w:p>
    <w:p>
      <w:pPr>
        <w:pStyle w:val="BodyText"/>
      </w:pPr>
      <w:r>
        <w:t xml:space="preserve">Three provisions combine in a way we do not think either party intends.</w:t>
      </w:r>
    </w:p>
    <w:p>
      <w:pPr>
        <w:pStyle w:val="BodyText"/>
      </w:pPr>
      <w:r>
        <w:rPr>
          <w:b/>
        </w:rPr>
        <w:t xml:space="preserve">First, in Minnesota an expert deposition is not available as of right.</w:t>
      </w:r>
      <w:r>
        <w:t xml:space="preserve"> </w:t>
      </w:r>
      <w:r>
        <w:t xml:space="preserve">Minn. R. Civ. P. 26.02(e)(1)(A) permits a party to identify the other side's trial experts by interrogatory. Anything beyond that falls under Rule 26.02(e)(1)(B): "Upon motion, the court may order further discovery by other means, subject to such restrictions as to scope and such provisions … as the court may deem appropriate." Deposing a testifying expert therefore requires a motion, a hearing, and an order setting scope — not simply a notice of deposition, as it would in federal court.</w:t>
      </w:r>
    </w:p>
    <w:p>
      <w:pPr>
        <w:pStyle w:val="BodyText"/>
      </w:pPr>
      <w:r>
        <w:rPr>
          <w:b/>
        </w:rPr>
        <w:t xml:space="preserve">Second, the Scheduling Order closes discovery before either expert is disclosed.</w:t>
      </w:r>
      <w:r>
        <w:t xml:space="preserve"> </w:t>
      </w:r>
      <w:r>
        <w:t xml:space="preserve">Paragraph 2 provides that "[a]ll discovery must be completed by March 15, 2027." Paragraph 3 sets Plaintiffs' expert disclosures and reports at March 15, 2027, Defendant's at April 17, 2027, and rebuttal disclosures at May 14, 2027. Defendant's expert is therefore named a month after all discovery has closed, and the rebuttal expert two months after.</w:t>
      </w:r>
    </w:p>
    <w:p>
      <w:pPr>
        <w:pStyle w:val="BodyText"/>
      </w:pPr>
      <w:r>
        <w:rPr>
          <w:b/>
        </w:rPr>
        <w:t xml:space="preserve">Third, there is no room left to bring the motion.</w:t>
      </w:r>
      <w:r>
        <w:t xml:space="preserve"> </w:t>
      </w:r>
      <w:r>
        <w:t xml:space="preserve">Paragraph 5 requires that all dispositive and non-dispositive motions be</w:t>
      </w:r>
      <w:r>
        <w:t xml:space="preserve"> </w:t>
      </w:r>
      <w:r>
        <w:rPr>
          <w:i/>
        </w:rPr>
        <w:t xml:space="preserve">heard</w:t>
      </w:r>
      <w:r>
        <w:t xml:space="preserve"> </w:t>
      </w:r>
      <w:r>
        <w:t xml:space="preserve">by May 14, 2027. Under Minn. Gen. R. Prac. 115.04, a non-dispositive motion must be served and filed 21 days before the hearing — which means a motion for leave to depose Defendant's expert, disclosed April 17, 2027, would have to be filed by roughly April 23, heard by May 14, and the deposition completed within that same window. Hennepin County hearing dates are reserved well in advance. We do not think that sequence is achievable by either party, and we would rather not find that out in April.</w:t>
      </w:r>
    </w:p>
    <w:p>
      <w:pPr>
        <w:pStyle w:val="BodyText"/>
      </w:pPr>
      <w:r>
        <w:rPr>
          <w:b/>
        </w:rPr>
        <w:t xml:space="preserve">A related point on paragraph 3(a).</w:t>
      </w:r>
      <w:r>
        <w:t xml:space="preserve"> </w:t>
      </w:r>
      <w:r>
        <w:t xml:space="preserve">That paragraph sweeps Plaintiffs' "expert interrogatories, disclosures, and reports" into the March 15, 2027 date. Read one way, that would bar Plaintiffs from serving the Rule 26.02(e)(1)(A) expert interrogatory on Defendant at all, since Defendant does not designate until April 17, 2027. We assume that is not the intended reading, and the enclosed stipulation confirms it rather than leaving it to be argued later.</w:t>
      </w:r>
    </w:p>
    <w:p>
      <w:r>
        <w:pict>
          <v:rect style="width:0;height:1.5pt" o:hralign="center" o:hrstd="t" o:hr="t"/>
        </w:pict>
      </w:r>
    </w:p>
    <w:p>
      <w:pPr>
        <w:pStyle w:val="FirstParagraph"/>
      </w:pPr>
      <w:r>
        <w:rPr>
          <w:b/>
        </w:rPr>
        <w:t xml:space="preserve">2. Why a stipulation is the right instrument</w:t>
      </w:r>
    </w:p>
    <w:p>
      <w:pPr>
        <w:pStyle w:val="BodyText"/>
      </w:pPr>
      <w:r>
        <w:t xml:space="preserve">Minn. R. Civ. P. 29 provides:</w:t>
      </w:r>
    </w:p>
    <w:p>
      <w:pPr>
        <w:pStyle w:val="BlockText"/>
      </w:pPr>
      <w:r>
        <w:t xml:space="preserve">"Unless otherwise directed by the court the parties may by stipulation (1) provide that depositions may be taken before any person, at any time or place, upon any notice, and in any manner, and when so taken may be used like other depositions, and (2) modify other procedures governing or limitations placed upon discovery, except that stipulations extending the time provided in Rules 33, 34, and 36 for responses to discovery may, if they would interfere with any time set for completion of discovery, for hearing of a motion, or for trial, be made only with the approval of the court."</w:t>
      </w:r>
    </w:p>
    <w:p>
      <w:pPr>
        <w:pStyle w:val="FirstParagraph"/>
      </w:pPr>
      <w:r>
        <w:t xml:space="preserve">Clause (1) reaches the timing of the depositions. Clause (2) reaches the motion requirement itself, which is a "limitation[] placed upon discovery." The exception is confined to stipulations extending response time under Rules 33, 34 and 36, and does not apply here.</w:t>
      </w:r>
    </w:p>
    <w:p>
      <w:pPr>
        <w:pStyle w:val="BodyText"/>
      </w:pPr>
      <w:r>
        <w:rPr>
          <w:b/>
        </w:rPr>
        <w:t xml:space="preserve">We nonetheless propose submitting the stipulation to the Court for entry as an order</w:t>
      </w:r>
      <w:r>
        <w:t xml:space="preserve">, for two reasons. The dates in question appear in a scheduling order, and Minn. Gen. R. Prac. 111.04 provides that such an order "may be amended at a pretrial conference or upon motion for good cause shown" and that, "[e]xcept in unusual circumstances, a motion to extend deadlines under a scheduling order shall be made before the expiration of the deadline." A stipulation the parties present jointly, months before the deadline, is the cleanest showing of good cause available and satisfies the timing requirement comfortably. An entered order also removes any argument in April 2027 that the agreement was informal.</w:t>
      </w:r>
    </w:p>
    <w:p>
      <w:r>
        <w:pict>
          <v:rect style="width:0;height:1.5pt" o:hralign="center" o:hrstd="t" o:hr="t"/>
        </w:pict>
      </w:r>
    </w:p>
    <w:p>
      <w:pPr>
        <w:pStyle w:val="FirstParagraph"/>
      </w:pPr>
      <w:r>
        <w:rPr>
          <w:b/>
        </w:rPr>
        <w:t xml:space="preserve">3. What we propose</w:t>
      </w:r>
    </w:p>
    <w:p>
      <w:pPr>
        <w:pStyle w:val="BodyText"/>
      </w:pPr>
      <w:r>
        <w:t xml:space="preserve">The enclosed draft is short, and we are not attached to its particular wording. Its four operative terms are:</w:t>
      </w:r>
    </w:p>
    <w:p>
      <w:pPr>
        <w:numPr>
          <w:ilvl w:val="0"/>
          <w:numId w:val="1001"/>
        </w:numPr>
      </w:pPr>
      <w:r>
        <w:rPr>
          <w:b/>
        </w:rPr>
        <w:t xml:space="preserve">No motion required.</w:t>
      </w:r>
      <w:r>
        <w:t xml:space="preserve"> </w:t>
      </w:r>
      <w:r>
        <w:t xml:space="preserve">Each party may depose any expert the other discloses under paragraph 3 as a testifying expert, without the motion that Rule 26.02(e)(1)(B) would otherwise require.</w:t>
      </w:r>
    </w:p>
    <w:p>
      <w:pPr>
        <w:numPr>
          <w:ilvl w:val="0"/>
          <w:numId w:val="1001"/>
        </w:numPr>
      </w:pPr>
      <w:r>
        <w:rPr>
          <w:b/>
        </w:rPr>
        <w:t xml:space="preserve">A window that actually exists.</w:t>
      </w:r>
      <w:r>
        <w:t xml:space="preserve"> </w:t>
      </w:r>
      <w:r>
        <w:t xml:space="preserve">Expert depositions may be taken after the March 15, 2027 general discovery deadline, with all expert discovery completed by</w:t>
      </w:r>
      <w:r>
        <w:t xml:space="preserve"> </w:t>
      </w:r>
      <w:r>
        <w:rPr>
          <w:b/>
        </w:rPr>
        <w:t xml:space="preserve">July 16, 2027</w:t>
      </w:r>
      <w:r>
        <w:t xml:space="preserve"> </w:t>
      </w:r>
      <w:r>
        <w:t xml:space="preserve">— after the June 1, 2027 mediation deadline and a month before the August 16, 2027 pretrial conference. That date disturbs no deadline the Court has set. It is the same date we proposed in our letter of September 11, 2026.</w:t>
      </w:r>
    </w:p>
    <w:p>
      <w:pPr>
        <w:numPr>
          <w:ilvl w:val="0"/>
          <w:numId w:val="1001"/>
        </w:numPr>
      </w:pPr>
      <w:r>
        <w:rPr>
          <w:b/>
        </w:rPr>
        <w:t xml:space="preserve">Expert interrogatories.</w:t>
      </w:r>
      <w:r>
        <w:t xml:space="preserve"> </w:t>
      </w:r>
      <w:r>
        <w:t xml:space="preserve">Either party may serve a Rule 26.02(e)(1)(A) interrogatory directed to experts the other party discloses, within 21 days after that disclosure, with responses due 30 days later — so that paragraph 3(a) is not read to foreclose the one form of expert discovery the rules give as of right.</w:t>
      </w:r>
    </w:p>
    <w:p>
      <w:pPr>
        <w:numPr>
          <w:ilvl w:val="0"/>
          <w:numId w:val="1001"/>
        </w:numPr>
      </w:pPr>
      <w:r>
        <w:rPr>
          <w:b/>
        </w:rPr>
        <w:t xml:space="preserve">Fees.</w:t>
      </w:r>
      <w:r>
        <w:t xml:space="preserve"> </w:t>
      </w:r>
      <w:r>
        <w:t xml:space="preserve">Each party bears its own retained expert's fee for time spent testifying at deposition. Rule 26.02(e)(3) otherwise applies. We are equally willing to adopt the Rule 26.02(e)(3) default in full if Defendant prefers it; we propose the simpler allocation only because it avoids a fee dispute between the parties in the middle of a deposition window.</w:t>
      </w:r>
    </w:p>
    <w:p>
      <w:pPr>
        <w:pStyle w:val="FirstParagraph"/>
      </w:pPr>
      <w:r>
        <w:t xml:space="preserve">The stipulation expressly preserves the March 15, 2027 fact-discovery deadline and every other date in the Scheduling Order, and waives no objection either party may have to any expert's qualifications, methodology, or testimony.</w:t>
      </w:r>
    </w:p>
    <w:p>
      <w:r>
        <w:pict>
          <v:rect style="width:0;height:1.5pt" o:hralign="center" o:hrstd="t" o:hr="t"/>
        </w:pict>
      </w:r>
    </w:p>
    <w:p>
      <w:pPr>
        <w:pStyle w:val="FirstParagraph"/>
      </w:pPr>
      <w:r>
        <w:rPr>
          <w:b/>
        </w:rPr>
        <w:t xml:space="preserve">4. Why we think Defendant should want this</w:t>
      </w:r>
    </w:p>
    <w:p>
      <w:pPr>
        <w:pStyle w:val="BodyText"/>
      </w:pPr>
      <w:r>
        <w:t xml:space="preserve">Plaintiffs' expert disclosures and report are due</w:t>
      </w:r>
      <w:r>
        <w:t xml:space="preserve"> </w:t>
      </w:r>
      <w:r>
        <w:rPr>
          <w:b/>
        </w:rPr>
        <w:t xml:space="preserve">first</w:t>
      </w:r>
      <w:r>
        <w:t xml:space="preserve">, on March 15, 2027. Defendant will hold Plaintiffs' report for a full month before its own is due. On the literal reading of paragraph 2, however, Defendant could not depose Plaintiffs' expert either — that deposition would also fall after the close of all discovery, and would also require a motion under Rule 26.02(e)(1)(B) heard by May 14, 2027.</w:t>
      </w:r>
    </w:p>
    <w:p>
      <w:pPr>
        <w:pStyle w:val="BodyText"/>
      </w:pPr>
      <w:r>
        <w:t xml:space="preserve">Whatever the parties' disagreements elsewhere, neither side benefits from reaching trial having been unable to depose the other's expert, and neither benefits from litigating that question on an emergency basis next spring. The symmetry is the point: this stipulation gives each party exactly what it gives the other.</w:t>
      </w:r>
    </w:p>
    <w:p>
      <w:r>
        <w:pict>
          <v:rect style="width:0;height:1.5pt" o:hralign="center" o:hrstd="t" o:hr="t"/>
        </w:pict>
      </w:r>
    </w:p>
    <w:p>
      <w:pPr>
        <w:pStyle w:val="FirstParagraph"/>
      </w:pPr>
      <w:r>
        <w:rPr>
          <w:b/>
        </w:rPr>
        <w:t xml:space="preserve">5. Response requested</w:t>
      </w:r>
    </w:p>
    <w:p>
      <w:pPr>
        <w:pStyle w:val="BodyText"/>
      </w:pPr>
      <w:r>
        <w:t xml:space="preserve">We ask for Defendant's response by</w:t>
      </w:r>
      <w:r>
        <w:t xml:space="preserve"> </w:t>
      </w:r>
      <w:r>
        <w:rPr>
          <w:b/>
        </w:rPr>
        <w:t xml:space="preserve">______________, 2026</w:t>
      </w:r>
      <w:r>
        <w:t xml:space="preserve">. If Defendant would prefer to prepare its own draft, we would welcome that and will review it promptly. If any term is unacceptable, please tell us which one and why; we expect this is resolvable in a single exchange.</w:t>
      </w:r>
    </w:p>
    <w:p>
      <w:pPr>
        <w:pStyle w:val="BodyText"/>
      </w:pPr>
      <w:r>
        <w:t xml:space="preserve">If Defendant does not agree, we will ask the Court to set an expert-discovery schedule under Minn. Gen. R. Prac. 111.04, and will do so well before the deadlines expire rather than on the eve of them. We would much prefer the stipulation, and we are available to discuss any of this by telephone or video at your convenience. This letter is also intended to serve the conferral that Minn. Gen. R. Prac. 115.10 requires before any motion may be heard, and paragraph 4 of the Scheduling Order as to any discovery motion.</w:t>
      </w:r>
    </w:p>
    <w:p>
      <w:pPr>
        <w:pStyle w:val="BodyText"/>
      </w:pPr>
      <w:r>
        <w:t xml:space="preserve">Sincerely,</w:t>
      </w:r>
    </w:p>
    <w:p>
      <w:pPr>
        <w:pStyle w:val="BodyText"/>
      </w:pPr>
      <w:r>
        <w:br/>
      </w:r>
      <w:r>
        <w:br/>
      </w:r>
      <w:r>
        <w:t xml:space="preserve">______________________________</w:t>
      </w:r>
      <w:r>
        <w:br/>
      </w:r>
      <w:r>
        <w:t xml:space="preserve">Yibiao Lu</w:t>
      </w:r>
    </w:p>
    <w:p>
      <w:pPr>
        <w:pStyle w:val="BodyText"/>
      </w:pPr>
      <w:r>
        <w:br/>
      </w:r>
      <w:r>
        <w:br/>
      </w:r>
      <w:r>
        <w:t xml:space="preserve">______________________________</w:t>
      </w:r>
      <w:r>
        <w:br/>
      </w:r>
      <w:r>
        <w:t xml:space="preserve">Jie Hu</w:t>
      </w:r>
      <w:r>
        <w:br/>
      </w:r>
      <w:r>
        <w:t xml:space="preserve">Plaintiffs</w:t>
      </w:r>
      <w:r>
        <w:t xml:space="preserve"> </w:t>
      </w:r>
      <w:r>
        <w:rPr>
          <w:i/>
        </w:rPr>
        <w:t xml:space="preserve">pro se</w:t>
      </w:r>
    </w:p>
    <w:p>
      <w:pPr>
        <w:pStyle w:val="BodyText"/>
      </w:pPr>
      <w:r>
        <w:t xml:space="preserve">Enclosure: Attachment A — Proposed Stipulation Regarding Expert Discovery</w:t>
      </w:r>
    </w:p>
    <w:p>
      <w:r>
        <w:pict>
          <v:rect style="width:0;height:1.5pt" o:hralign="center" o:hrstd="t" o:hr="t"/>
        </w:pict>
      </w:r>
    </w:p>
    <w:p>
      <w:r>
        <w:pict>
          <v:rect style="width:0;height:1.5pt" o:hralign="center" o:hrstd="t" o:hr="t"/>
        </w:pict>
      </w:r>
    </w:p>
    <w:p>
      <w:pPr>
        <w:pStyle w:val="Heading1"/>
      </w:pPr>
      <w:bookmarkStart w:id="23" w:name="attachment-a"/>
      <w:r>
        <w:t xml:space="preserve">ATTACHMENT A</w:t>
      </w:r>
      <w:bookmarkEnd w:id="23"/>
    </w:p>
    <w:p>
      <w:pPr>
        <w:pStyle w:val="Heading2"/>
      </w:pPr>
      <w:bookmarkStart w:id="24" w:name="Xb07fdca28a1621e031c567cddb8c595337a8e9b"/>
      <w:r>
        <w:t xml:space="preserve">Proposed Stipulation Regarding Expert Discovery</w:t>
      </w:r>
      <w:bookmarkEnd w:id="24"/>
    </w:p>
    <w:tbl>
      <w:tblPr>
        <w:tblStyle w:val="Table"/>
        <w:tblW w:type="pct" w:w="0.0"/>
        <w:tblLook w:firstRow="0"/>
      </w:tblPr>
      <w:tblGrid/>
      <w:tr>
        <w:tc>
          <w:p>
            <w:pPr>
              <w:pStyle w:val="Compact"/>
              <w:jc w:val="left"/>
            </w:pPr>
            <w:r>
              <w:t xml:space="preserve">STATE OF MINNESOTA</w:t>
            </w:r>
            <w:r>
              <w:t xml:space="preserve">COUNTY OF HENNEPIN</w:t>
            </w:r>
          </w:p>
        </w:tc>
        <w:tc>
          <w:p>
            <w:pPr>
              <w:pStyle w:val="Compact"/>
              <w:jc w:val="left"/>
            </w:pPr>
            <w:r>
              <w:t xml:space="preserve">DISTRICT COURT</w:t>
            </w:r>
            <w:r>
              <w:t xml:space="preserve">FOURTH JUDICIAL DISTRICT</w:t>
            </w:r>
          </w:p>
        </w:tc>
      </w:tr>
      <w:tr>
        <w:tc>
          <w:p>
            <w:pPr>
              <w:pStyle w:val="Compact"/>
              <w:jc w:val="left"/>
            </w:pPr>
            <w:r>
              <w:t xml:space="preserve">Yibiao Lu and Jie Hu,</w:t>
            </w:r>
            <w:r>
              <w:t xml:space="preserve">Plaintiffs,</w:t>
            </w:r>
            <w:r>
              <w:t xml:space="preserve">vs.</w:t>
            </w:r>
            <w:r>
              <w:t xml:space="preserve">Fire Insurance Exchange, by and through its attorney-in-fact Fire Underwriters Association, doing business as Farmers Insurance,</w:t>
            </w:r>
            <w:r>
              <w:t xml:space="preserve">Defendant.</w:t>
            </w:r>
          </w:p>
        </w:tc>
        <w:tc>
          <w:p>
            <w:pPr>
              <w:pStyle w:val="Compact"/>
              <w:jc w:val="left"/>
            </w:pPr>
            <w:r>
              <w:t xml:space="preserve">Case Type: Contract</w:t>
            </w:r>
            <w:r>
              <w:t xml:space="preserve">Court File No. 27-CV-26-11606</w:t>
            </w:r>
            <w:r>
              <w:t xml:space="preserve">Judge: Jamie Anderson</w:t>
            </w:r>
            <w:r>
              <w:rPr>
                <w:b/>
              </w:rPr>
              <w:t xml:space="preserve">STIPULATION REGARDING EXPERT DISCOVERY</w:t>
            </w:r>
          </w:p>
        </w:tc>
      </w:tr>
    </w:tbl>
    <w:p>
      <w:pPr>
        <w:pStyle w:val="BodyText"/>
      </w:pPr>
      <w:r>
        <w:t xml:space="preserve">WHEREAS the Court's Scheduling Order and Order to Mediate entered September 8, 2026 provides at paragraph 2 that all discovery must be completed by March 15, 2027;</w:t>
      </w:r>
    </w:p>
    <w:p>
      <w:pPr>
        <w:pStyle w:val="BodyText"/>
      </w:pPr>
      <w:r>
        <w:t xml:space="preserve">WHEREAS paragraph 3 of that Order sets Plaintiffs' expert disclosures and reports at March 15, 2027, Defendant's expert disclosures and reports at April 17, 2027, and rebuttal expert disclosures and reports at May 14, 2027, each of which falls on or after the date discovery closes;</w:t>
      </w:r>
    </w:p>
    <w:p>
      <w:pPr>
        <w:pStyle w:val="BodyText"/>
      </w:pPr>
      <w:r>
        <w:t xml:space="preserve">WHEREAS Minn. R. Civ. P. 26.02(e)(1)(B) permits discovery of a testifying expert beyond the interrogatory authorized by Rule 26.02(e)(1)(A) only upon motion and order of the Court;</w:t>
      </w:r>
    </w:p>
    <w:p>
      <w:pPr>
        <w:pStyle w:val="BodyText"/>
      </w:pPr>
      <w:r>
        <w:t xml:space="preserve">WHEREAS paragraph 5 of the Order requires that all motions be heard by May 14, 2027, leaving no practical interval in which either party could move for, obtain, and complete such discovery as to an expert disclosed April 17, 2027; and</w:t>
      </w:r>
    </w:p>
    <w:p>
      <w:pPr>
        <w:pStyle w:val="BodyText"/>
      </w:pPr>
      <w:r>
        <w:t xml:space="preserve">WHEREAS Minn. R. Civ. P. 29 permits the parties by stipulation to provide that depositions may be taken at any time and upon any notice, and to modify other procedures governing or limitations placed upon discovery;</w:t>
      </w:r>
    </w:p>
    <w:p>
      <w:pPr>
        <w:pStyle w:val="BodyText"/>
      </w:pPr>
      <w:r>
        <w:t xml:space="preserve">NOW THEREFORE, the parties, by and through the undersigned, stipulate and agree as follows, and jointly request that the Court enter this stipulation as an order:</w:t>
      </w:r>
    </w:p>
    <w:p>
      <w:pPr>
        <w:pStyle w:val="BodyText"/>
      </w:pPr>
      <w:r>
        <w:rPr>
          <w:b/>
        </w:rPr>
        <w:t xml:space="preserve">1. Expert depositions without motion.</w:t>
      </w:r>
      <w:r>
        <w:t xml:space="preserve"> </w:t>
      </w:r>
      <w:r>
        <w:t xml:space="preserve">Each party may take the deposition of any person the opposing party discloses under paragraph 3 of the Scheduling Order as an expert expected to testify at trial, upon notice under Minn. R. Civ. P. 30 and without the motion otherwise required by Minn. R. Civ. P. 26.02(e)(1)(B).</w:t>
      </w:r>
    </w:p>
    <w:p>
      <w:pPr>
        <w:pStyle w:val="BodyText"/>
      </w:pPr>
      <w:r>
        <w:rPr>
          <w:b/>
        </w:rPr>
        <w:t xml:space="preserve">2. Timing.</w:t>
      </w:r>
      <w:r>
        <w:t xml:space="preserve"> </w:t>
      </w:r>
      <w:r>
        <w:t xml:space="preserve">Depositions under paragraph 1 may be taken after the March 15, 2027 deadline set by paragraph 2 of the Scheduling Order. All expert discovery, including such depositions, shall be completed by</w:t>
      </w:r>
      <w:r>
        <w:t xml:space="preserve"> </w:t>
      </w:r>
      <w:r>
        <w:rPr>
          <w:b/>
        </w:rPr>
        <w:t xml:space="preserve">July 16, 2027</w:t>
      </w:r>
      <w:r>
        <w:t xml:space="preserve">.</w:t>
      </w:r>
    </w:p>
    <w:p>
      <w:pPr>
        <w:pStyle w:val="BodyText"/>
      </w:pPr>
      <w:r>
        <w:rPr>
          <w:b/>
        </w:rPr>
        <w:t xml:space="preserve">3. Expert interrogatories.</w:t>
      </w:r>
      <w:r>
        <w:t xml:space="preserve"> </w:t>
      </w:r>
      <w:r>
        <w:t xml:space="preserve">Either party may serve interrogatories under Minn. R. Civ. P. 26.02(e)(1)(A) directed to any expert the opposing party discloses under paragraph 3 of the Scheduling Order, within twenty-one (21) days after that disclosure, with responses due thirty (30) days after service. Paragraph 3(a) of the Scheduling Order shall not be construed to bar the service of such interrogatories after March 15, 2027.</w:t>
      </w:r>
    </w:p>
    <w:p>
      <w:pPr>
        <w:pStyle w:val="BodyText"/>
      </w:pPr>
      <w:r>
        <w:rPr>
          <w:b/>
        </w:rPr>
        <w:t xml:space="preserve">4. Expert fees.</w:t>
      </w:r>
      <w:r>
        <w:t xml:space="preserve"> </w:t>
      </w:r>
      <w:r>
        <w:t xml:space="preserve">Each party shall bear the fee of its own retained expert for time spent testifying at a deposition taken under this stipulation. In all other respects Minn. R. Civ. P. 26.02(e)(3) shall apply.</w:t>
      </w:r>
    </w:p>
    <w:p>
      <w:pPr>
        <w:pStyle w:val="BodyText"/>
      </w:pPr>
      <w:r>
        <w:rPr>
          <w:b/>
        </w:rPr>
        <w:t xml:space="preserve">5. Manner of deposition.</w:t>
      </w:r>
      <w:r>
        <w:t xml:space="preserve"> </w:t>
      </w:r>
      <w:r>
        <w:t xml:space="preserve">Depositions under this stipulation may be taken remotely by agreement of the parties, and may be recorded by any means permitted by Minn. R. Civ. P. 30.02(d).</w:t>
      </w:r>
    </w:p>
    <w:p>
      <w:pPr>
        <w:pStyle w:val="BodyText"/>
      </w:pPr>
      <w:r>
        <w:rPr>
          <w:b/>
        </w:rPr>
        <w:t xml:space="preserve">6. No other modification.</w:t>
      </w:r>
      <w:r>
        <w:t xml:space="preserve"> </w:t>
      </w:r>
      <w:r>
        <w:t xml:space="preserve">Nothing in this stipulation extends the March 15, 2027 deadline as to any discovery other than expert discovery as defined above, and nothing in it modifies any other date set by the Scheduling Order, including the dates in paragraphs 3, 5, 6 and 8.</w:t>
      </w:r>
    </w:p>
    <w:p>
      <w:pPr>
        <w:pStyle w:val="BodyText"/>
      </w:pPr>
      <w:r>
        <w:rPr>
          <w:b/>
        </w:rPr>
        <w:t xml:space="preserve">7. No waiver.</w:t>
      </w:r>
      <w:r>
        <w:t xml:space="preserve"> </w:t>
      </w:r>
      <w:r>
        <w:t xml:space="preserve">Nothing in this stipulation waives any objection either party may have to the qualifications, methodology, opinions, admissibility, or timeliness of any expert disclosure or expert testimony, or any objection to a particular question or line of inquiry at a deposition.</w:t>
      </w:r>
    </w:p>
    <w:p>
      <w:pPr>
        <w:pStyle w:val="BodyText"/>
      </w:pPr>
      <w:r>
        <w:t xml:space="preserve">Dated: ______________, 2026.</w:t>
      </w:r>
    </w:p>
    <w:p>
      <w:pPr>
        <w:pStyle w:val="BodyText"/>
      </w:pPr>
      <w:r>
        <w:br/>
      </w:r>
      <w:r>
        <w:t xml:space="preserve">______________________________</w:t>
      </w:r>
      <w:r>
        <w:br/>
      </w:r>
      <w:r>
        <w:t xml:space="preserve">Yibiao Lu, Plaintiff</w:t>
      </w:r>
      <w:r>
        <w:t xml:space="preserve"> </w:t>
      </w:r>
      <w:r>
        <w:rPr>
          <w:i/>
        </w:rPr>
        <w:t xml:space="preserve">pro se</w:t>
      </w:r>
      <w:r>
        <w:br/>
      </w:r>
      <w:r>
        <w:t xml:space="preserve">17756 George Moran Dr.</w:t>
      </w:r>
      <w:r>
        <w:br/>
      </w:r>
      <w:r>
        <w:t xml:space="preserve">Eden Prairie, MN 55347</w:t>
      </w:r>
      <w:r>
        <w:br/>
      </w:r>
      <w:r>
        <w:t xml:space="preserve">Telephone: 763-843-2859</w:t>
      </w:r>
      <w:r>
        <w:br/>
      </w:r>
      <w:r>
        <w:t xml:space="preserve">Email:</w:t>
      </w:r>
      <w:r>
        <w:t xml:space="preserve"> </w:t>
      </w:r>
      <w:hyperlink r:id="rId20">
        <w:r>
          <w:rPr>
            <w:rStyle w:val="Hyperlink"/>
          </w:rPr>
          <w:t xml:space="preserve">bill_y_lu@yahoo.com</w:t>
        </w:r>
      </w:hyperlink>
    </w:p>
    <w:p>
      <w:pPr>
        <w:pStyle w:val="BodyText"/>
      </w:pPr>
      <w:r>
        <w:br/>
      </w:r>
      <w:r>
        <w:t xml:space="preserve">______________________________</w:t>
      </w:r>
      <w:r>
        <w:br/>
      </w:r>
      <w:r>
        <w:t xml:space="preserve">Jie Hu, Plaintiff</w:t>
      </w:r>
      <w:r>
        <w:t xml:space="preserve"> </w:t>
      </w:r>
      <w:r>
        <w:rPr>
          <w:i/>
        </w:rPr>
        <w:t xml:space="preserve">pro se</w:t>
      </w:r>
      <w:r>
        <w:br/>
      </w:r>
      <w:r>
        <w:t xml:space="preserve">17756 George Moran Dr.</w:t>
      </w:r>
      <w:r>
        <w:br/>
      </w:r>
      <w:r>
        <w:t xml:space="preserve">Eden Prairie, MN 55347</w:t>
      </w:r>
      <w:r>
        <w:br/>
      </w:r>
      <w:r>
        <w:t xml:space="preserve">Telephone: 763-843-2860</w:t>
      </w:r>
      <w:r>
        <w:br/>
      </w:r>
      <w:r>
        <w:t xml:space="preserve">Email:</w:t>
      </w:r>
      <w:r>
        <w:t xml:space="preserve"> </w:t>
      </w:r>
      <w:hyperlink r:id="rId25">
        <w:r>
          <w:rPr>
            <w:rStyle w:val="Hyperlink"/>
          </w:rPr>
          <w:t xml:space="preserve">jie_h_hu@yahoo.com</w:t>
        </w:r>
      </w:hyperlink>
    </w:p>
    <w:p>
      <w:pPr>
        <w:pStyle w:val="BodyText"/>
      </w:pPr>
      <w:r>
        <w:t xml:space="preserve">Dated: ______________, 2026.</w:t>
      </w:r>
    </w:p>
    <w:p>
      <w:pPr>
        <w:pStyle w:val="BodyText"/>
      </w:pPr>
      <w:r>
        <w:t xml:space="preserve">KENNEDY LAW FIRM P.C.</w:t>
      </w:r>
    </w:p>
    <w:p>
      <w:pPr>
        <w:pStyle w:val="BodyText"/>
      </w:pPr>
      <w:r>
        <w:br/>
      </w:r>
      <w:r>
        <w:t xml:space="preserve">______________________________</w:t>
      </w:r>
      <w:r>
        <w:br/>
      </w:r>
      <w:r>
        <w:t xml:space="preserve">Kevin J. Kennedy (#193872)</w:t>
      </w:r>
      <w:r>
        <w:br/>
      </w:r>
      <w:r>
        <w:t xml:space="preserve">Mary J. Baskfield (#0314572)</w:t>
      </w:r>
      <w:r>
        <w:br/>
      </w:r>
      <w:r>
        <w:t xml:space="preserve">7616 Currell Blvd., Suite 270</w:t>
      </w:r>
      <w:r>
        <w:br/>
      </w:r>
      <w:r>
        <w:t xml:space="preserve">Woodbury, MN 55125</w:t>
      </w:r>
      <w:r>
        <w:br/>
      </w:r>
      <w:r>
        <w:rPr>
          <w:i/>
        </w:rPr>
        <w:t xml:space="preserve">Attorneys for Defendant Fire Insurance Exchange</w:t>
      </w:r>
    </w:p>
    <w:p>
      <w:r>
        <w:pict>
          <v:rect style="width:0;height:1.5pt" o:hralign="center" o:hrstd="t" o:hr="t"/>
        </w:pict>
      </w:r>
    </w:p>
    <w:p>
      <w:pPr>
        <w:pStyle w:val="FirstParagraph"/>
      </w:pPr>
      <w:r>
        <w:rPr>
          <w:b/>
        </w:rPr>
        <w:t xml:space="preserve">IT IS SO ORDERED.</w:t>
      </w:r>
    </w:p>
    <w:p>
      <w:pPr>
        <w:pStyle w:val="BodyText"/>
      </w:pPr>
      <w:r>
        <w:t xml:space="preserve">Dated: ______________, 20____</w:t>
      </w:r>
    </w:p>
    <w:p>
      <w:pPr>
        <w:pStyle w:val="BodyText"/>
      </w:pPr>
      <w:r>
        <w:br/>
      </w:r>
      <w:r>
        <w:t xml:space="preserve">______________________________</w:t>
      </w:r>
      <w:r>
        <w:br/>
      </w:r>
      <w:r>
        <w:t xml:space="preserve">Hon. Jamie L. Anderson</w:t>
      </w:r>
      <w:r>
        <w:br/>
      </w:r>
      <w:r>
        <w:t xml:space="preserve">Judge of District Court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bill_y_lu@yahoo.com" TargetMode="External" /><Relationship Type="http://schemas.openxmlformats.org/officeDocument/2006/relationships/hyperlink" Id="rId25" Target="mailto:jie_h_hu@yahoo.com" TargetMode="External" /><Relationship Type="http://schemas.openxmlformats.org/officeDocument/2006/relationships/hyperlink" Id="rId21" Target="mailto:kkennedy@kennedylf.com" TargetMode="External" /><Relationship Type="http://schemas.openxmlformats.org/officeDocument/2006/relationships/hyperlink" Id="rId22" Target="mailto:mbaskfield@kennedylf.com" TargetMode="External" /></Relationships>
</file>

<file path=word/_rels/footnotes.xml.rels><?xml version="1.0" encoding="UTF-8"?>
<Relationships xmlns="http://schemas.openxmlformats.org/package/2006/relationships"><Relationship Type="http://schemas.openxmlformats.org/officeDocument/2006/relationships/hyperlink" Id="rId20" Target="mailto:bill_y_lu@yahoo.com" TargetMode="External" /><Relationship Type="http://schemas.openxmlformats.org/officeDocument/2006/relationships/hyperlink" Id="rId25" Target="mailto:jie_h_hu@yahoo.com" TargetMode="External" /><Relationship Type="http://schemas.openxmlformats.org/officeDocument/2006/relationships/hyperlink" Id="rId21" Target="mailto:kkennedy@kennedylf.com" TargetMode="External" /><Relationship Type="http://schemas.openxmlformats.org/officeDocument/2006/relationships/hyperlink" Id="rId22" Target="mailto:mbaskfield@kennedylf.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2026-09-12T03:32:59Z</dcterms:created>
  <dcterms:modified xsi:type="dcterms:W3CDTF">2026-09-12T03:32:59Z</dcterms:modified>
</cp:coreProperties>
</file>

<file path=docProps/custom.xml><?xml version="1.0" encoding="utf-8"?>
<Properties xmlns="http://schemas.openxmlformats.org/officeDocument/2006/custom-properties" xmlns:vt="http://schemas.openxmlformats.org/officeDocument/2006/docPropsVTypes"/>
</file>