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Interrogatories</w:t>
      </w:r>
    </w:p>
    <w:p>
      <w:pPr>
        <w:spacing w:after="40"/>
        <w:jc w:val="center"/>
      </w:pPr>
      <w:r>
        <w:rPr>
          <w:b/>
          <w:bCs/>
          <w:caps/>
        </w:rPr>
        <w:t xml:space="preserve">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33 of the Minnesota Rules of Civil Procedure, Plaintiffs Yibiao Lu and Jie Hu serve the following interrogatories on Defendant, to be answered separately, fully, in writing, and under oath within thirty (30) days after service.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 xml:space="preserve">means homeowner’s Policy 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interrogatory specifies otherwise, each interrogatory covers the period January 1, 2020 through the present, except that as to The Policy, its issuance and underwriting, and all claims made at The Property before The Claim, each interrogatory covers the period October 22, 2014 through the present.</w:t>
      </w:r>
    </w:p>
    <w:p>
      <w:pPr>
        <w:spacing w:after="160" w:line="276"/>
        <w:ind w:left="720" w:hanging="720"/>
      </w:pPr>
      <w:r>
        <w:rPr>
          <w:b/>
          <w:bCs/>
        </w:rPr>
        <w:t>2.</w:t>
        <w:tab/>
      </w:r>
      <w:r>
        <w:t>Manner of answer. Each interrogatory must be answered separately, fully, in writing, and under oath, and the answers must be signed by the person making them, pursuant to Minn. R. Civ. P. 33.01(d).</w:t>
      </w:r>
    </w:p>
    <w:p>
      <w:pPr>
        <w:spacing w:after="160" w:line="276"/>
        <w:ind w:left="720" w:hanging="720"/>
      </w:pPr>
      <w:r>
        <w:rPr>
          <w:b/>
          <w:bCs/>
        </w:rPr>
        <w:t>3.</w:t>
        <w:tab/>
      </w:r>
      <w:r>
        <w:t xml:space="preserve">Continuing duty. These interrogatories are continuing. You must seasonably supplement or correct Your answers pursuant to Minn. R. Civ. P. 26.05.</w:t>
      </w:r>
    </w:p>
    <w:p>
      <w:pPr>
        <w:spacing w:after="160" w:line="276"/>
        <w:ind w:left="720" w:hanging="720"/>
      </w:pPr>
      <w:r>
        <w:rPr>
          <w:b/>
          <w:bCs/>
        </w:rPr>
        <w:t>4.</w:t>
        <w:tab/>
      </w:r>
      <w:r>
        <w:t xml:space="preserve">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pPr>
        <w:spacing w:after="160" w:line="276"/>
        <w:ind w:left="720" w:hanging="720"/>
      </w:pPr>
      <w:r>
        <w:rPr>
          <w:b/>
          <w:bCs/>
        </w:rPr>
        <w:t>5.</w:t>
        <w:tab/>
      </w:r>
      <w:r>
        <w:t>Option to produce records. If You elect to answer any interrogatory by producing business records under Minn. R. Civ. P. 33.03, specify the records to be produced in sufficient detail to permit Plaintiffs to locate and identify them as readily as You could.</w:t>
      </w:r>
    </w:p>
    <w:p>
      <w:pPr>
        <w:spacing w:after="160" w:line="276"/>
        <w:ind w:left="720" w:hanging="720"/>
      </w:pPr>
      <w:r>
        <w:rPr>
          <w:b/>
          <w:bCs/>
        </w:rPr>
        <w:t>6.</w:t>
        <w:tab/>
      </w:r>
      <w:r>
        <w:t xml:space="preserve">No responsive information. If no information exists responsive to an interrogatory, state so expressly. If responsive information once existed but is no longer available, identify it, describe its disposition, and identify each person with knowledge.</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pPr>
        <w:spacing w:after="160" w:line="276"/>
        <w:ind w:left="720" w:hanging="720"/>
      </w:pPr>
      <w:r>
        <w:rPr>
          <w:b/>
          <w:bCs/>
        </w:rPr>
        <w:t>8.</w:t>
        <w:tab/>
      </w:r>
      <w:r>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pPr>
        <w:spacing w:after="160" w:line="276"/>
        <w:ind w:left="720" w:hanging="720"/>
      </w:pPr>
      <w:r>
        <w:rPr>
          <w:b/>
          <w:bCs/>
        </w:rPr>
        <w:t>9.</w:t>
        <w:tab/>
      </w:r>
      <w:r>
        <w:t>Partial objections. If You object to any part of an interrogatory, answer the remainder. Each objection must state whether any responsive information is being withheld on the basis of that objection.</w:t>
      </w:r>
    </w:p>
    <w:p>
      <w:pPr>
        <w:spacing w:after="160" w:before="200"/>
        <w:jc w:val="center"/>
      </w:pPr>
      <w:r>
        <w:rPr>
          <w:b/>
          <w:bCs/>
          <w:caps/>
        </w:rPr>
        <w:t xml:space="preserve">Interrogatories</w:t>
      </w:r>
    </w:p>
    <w:p>
      <w:pPr>
        <w:spacing w:after="160" w:line="276"/>
        <w:ind w:left="720" w:hanging="720"/>
      </w:pPr>
      <w:r>
        <w:rPr>
          <w:b/>
          <w:bCs/>
        </w:rPr>
        <w:t xml:space="preserve">INTERROGATORY NO. 1:  </w:t>
      </w:r>
      <w:r>
        <w:t xml:space="preserve">Identify each person who supplied information used to answer these interrogatories, and identify the interrogatory or interrogatories to which each such person contributed.</w:t>
      </w:r>
    </w:p>
    <w:p>
      <w:pPr>
        <w:spacing w:after="160" w:line="276"/>
        <w:ind w:left="720" w:hanging="720"/>
      </w:pPr>
      <w:r>
        <w:rPr>
          <w:b/>
          <w:bCs/>
        </w:rPr>
        <w:t xml:space="preserve">INTERROGATORY NO. 2:  </w:t>
      </w:r>
      <w:r>
        <w:t xml:space="preserve">State each fact on which You base any contention that hail did not cause damage to any window or exterior component of The Property beyond the windows designated "F1.7" and "B1.2" in The Appraisal Award, and identify the documents and witnesses that support that contention.</w:t>
      </w:r>
    </w:p>
    <w:p>
      <w:pPr>
        <w:spacing w:after="160" w:line="276"/>
        <w:ind w:left="720" w:hanging="720"/>
      </w:pPr>
      <w:r>
        <w:rPr>
          <w:b/>
          <w:bCs/>
        </w:rPr>
        <w:t xml:space="preserve">INTERROGATORY NO. 3:  </w:t>
      </w:r>
      <w:r>
        <w:t>For each of the six policy exclusions cited in the November 4, 2024 denial letter, state the specific factual basis on which You contend that exclusion applies to The Claim, and identify the documents and witnesses on which You rely to support the application of that exclusion; and identify each person who decided to include that exclusion in the letter.</w:t>
      </w:r>
    </w:p>
    <w:p>
      <w:pPr>
        <w:spacing w:after="160" w:line="276"/>
        <w:ind w:left="720" w:hanging="720"/>
      </w:pPr>
      <w:r>
        <w:rPr>
          <w:b/>
          <w:bCs/>
        </w:rPr>
        <w:t xml:space="preserve">INTERROGATORY NO. 4:  </w:t>
      </w:r>
      <w:r>
        <w:t xml:space="preserve">Identify each non-window component of The Property (including without limitation downspouts, flashing, siding, trim board, doors, and screens) that the Prieve Report’s Photo Appendix A documents as dented, marked, or otherwise damaged, and for each such component state whether You contend the damage exists, the cause You attribute to the damage, and whether You contend that any policy exclusion or limitation applies.</w:t>
      </w:r>
    </w:p>
    <w:p>
      <w:pPr>
        <w:spacing w:after="160" w:line="276"/>
        <w:ind w:left="720" w:hanging="720"/>
      </w:pPr>
      <w:r>
        <w:rPr>
          <w:b/>
          <w:bCs/>
        </w:rPr>
        <w:t xml:space="preserve">INTERROGATORY NO. 5:  </w:t>
      </w:r>
      <w:r>
        <w:t xml:space="preserve">State the basis for Your decision to scope the Prieve Engineering engagement to the condition of the windows and to exclude the siding, downspouts, flashing, and doors that Plaintiffs had reported as damaged, identifying the date of that decision, the person(s) who made it, whether Plaintiffs were informed of it, and whether Prieve requested and was denied an expanded scope.</w:t>
      </w:r>
    </w:p>
    <w:p>
      <w:pPr>
        <w:spacing w:after="160" w:line="276"/>
        <w:ind w:left="720" w:hanging="720"/>
      </w:pPr>
      <w:r>
        <w:rPr>
          <w:b/>
          <w:bCs/>
        </w:rPr>
        <w:t xml:space="preserve">INTERROGATORY NO. 6:  </w:t>
      </w:r>
      <w:r>
        <w:t xml:space="preserve">For each line item in the 2020 Xactimate estimate for The 2020 Claim, identify the specific window or sash to which the line item relates by location and elevation, state whether the line item paid for replacement of an entire window unit or for one or more individual sashes, and identify each window, sash, or component that the 2020 inspection observed or photographed as damaged but did not include in a paid line item, together with the reason for its exclusion.</w:t>
      </w:r>
    </w:p>
    <w:p>
      <w:pPr>
        <w:spacing w:after="160" w:line="276"/>
        <w:ind w:left="720" w:hanging="720"/>
      </w:pPr>
      <w:r>
        <w:rPr>
          <w:b/>
          <w:bCs/>
        </w:rPr>
        <w:t xml:space="preserve">INTERROGATORY NO. 7:  </w:t>
      </w:r>
      <w:r>
        <w:t xml:space="preserve">State whether You contend that the replacement cost owed for the covered windows excludes any of the following, and if so state the specific factual and contractual basis for each: (a) detaching and resetting, or replacing, window blinds and other coverings mounted to or within the covered windows; (b) interior or exterior trim disturbed by the window replacement; (c) exterior repaint necessitated by the window installation; and (d) remediation of mold or water damage resulting from window leakage.</w:t>
      </w:r>
    </w:p>
    <w:p>
      <w:pPr>
        <w:spacing w:after="160" w:line="276"/>
        <w:ind w:left="720" w:hanging="720"/>
      </w:pPr>
      <w:r>
        <w:rPr>
          <w:b/>
          <w:bCs/>
        </w:rPr>
        <w:t xml:space="preserve">INTERROGATORY NO. 8:  </w:t>
      </w:r>
      <w:r>
        <w:t xml:space="preserve">For each item that You contend is limited or excluded by endorsement J6944 (Limited Matching of Undamaged Property), state the specific factual and contractual basis for that contention and identify which requirement of endorsement J6944 You contend applies to that item.</w:t>
      </w:r>
    </w:p>
    <w:p>
      <w:pPr>
        <w:spacing w:after="160" w:line="276"/>
        <w:ind w:left="720" w:hanging="720"/>
      </w:pPr>
      <w:r>
        <w:rPr>
          <w:b/>
          <w:bCs/>
        </w:rPr>
        <w:t xml:space="preserve">INTERROGATORY NO. 9:  </w:t>
      </w:r>
      <w:r>
        <w:t xml:space="preserve">Identify, by date, speaker, audience, and medium, each communication in which You articulated, restated, or applied any requirement that evidence on a hail claim be provided by an engineer before You would review it, including without limitation the February 3, 2025 telephone call and the February 10, 2025 voicemail.</w:t>
      </w:r>
    </w:p>
    <w:p>
      <w:pPr>
        <w:spacing w:after="160" w:line="276"/>
        <w:ind w:left="720" w:hanging="720"/>
      </w:pPr>
      <w:r>
        <w:rPr>
          <w:b/>
          <w:bCs/>
        </w:rPr>
        <w:t xml:space="preserve">INTERROGATORY NO. 10:  </w:t>
      </w:r>
      <w:r>
        <w:t xml:space="preserve">State the basis for Your October 10, 2025 statement that "the file does not contain a report on the requested date" with respect to Nicholas Brau’s September 6, 2024 inspection, and identify the search performed to locate such records, the custodians and systems searched, the date of the search, and the person who performed it.</w:t>
      </w:r>
    </w:p>
    <w:p>
      <w:pPr>
        <w:spacing w:after="160" w:line="276"/>
        <w:ind w:left="720" w:hanging="720"/>
      </w:pPr>
      <w:r>
        <w:rPr>
          <w:b/>
          <w:bCs/>
        </w:rPr>
        <w:t xml:space="preserve">INTERROGATORY NO. 11:  </w:t>
      </w:r>
      <w:r>
        <w:t xml:space="preserve">State the basis for Nicholas Brau’s October 29, 2025 statement that "all the information we can release has already been sent to you," identifying what specifically had been released, to whom, on what date, and which of Mr. Brau’s observations from the September 6, 2024 inspection are included in that release.</w:t>
      </w:r>
    </w:p>
    <w:p>
      <w:pPr>
        <w:spacing w:after="160" w:line="276"/>
        <w:ind w:left="720" w:hanging="720"/>
      </w:pPr>
      <w:r>
        <w:rPr>
          <w:b/>
          <w:bCs/>
        </w:rPr>
        <w:t xml:space="preserve">INTERROGATORY NO. 12:  </w:t>
      </w:r>
      <w:r>
        <w:t xml:space="preserve">For each of the September 3, 2024 and November 4, 2024 denial letters, describe the supervisory review performed before the letter was issued, identifying the reviewer(s), the steps taken, the date of the review, and any documents created during the review.</w:t>
      </w:r>
    </w:p>
    <w:p>
      <w:pPr>
        <w:spacing w:after="160" w:line="276"/>
        <w:ind w:left="720" w:hanging="720"/>
      </w:pPr>
      <w:r>
        <w:rPr>
          <w:b/>
          <w:bCs/>
        </w:rPr>
        <w:t xml:space="preserve">INTERROGATORY NO. 13:  </w:t>
      </w:r>
      <w:r>
        <w:t>State each fact on which You base any contention that The Appraisal Award resolved The Claim within the meaning of Minn. Stat. § 604.18, subd. 4(c), and identify every window that the award is intended to cover and every window it is intended to exclude, with the document or communication supporting each identification.</w:t>
      </w:r>
    </w:p>
    <w:p>
      <w:pPr>
        <w:spacing w:after="160" w:line="276"/>
        <w:ind w:left="720" w:hanging="720"/>
      </w:pPr>
      <w:r>
        <w:rPr>
          <w:b/>
          <w:bCs/>
        </w:rPr>
        <w:t xml:space="preserve">INTERROGATORY NO. 14:  </w:t>
      </w:r>
      <w:r>
        <w:t xml:space="preserve">State Your position, and the complete basis for it, on whether The Appraisal Award is binding on You as to causation under Quade v. Secura Insurance, 814 N.W.2d 703 (Minn. 2012).</w:t>
      </w:r>
    </w:p>
    <w:p>
      <w:pPr>
        <w:spacing w:after="160" w:line="276"/>
        <w:ind w:left="720" w:hanging="720"/>
      </w:pPr>
      <w:r>
        <w:rPr>
          <w:b/>
          <w:bCs/>
        </w:rPr>
        <w:t xml:space="preserve">INTERROGATORY NO. 15:  </w:t>
      </w:r>
      <w:r>
        <w:t xml:space="preserve">State the factual basis for each affirmative defense asserted in Your Answer to the Complaint, and identify the documents and witnesses that support each such defense.</w:t>
      </w:r>
    </w:p>
    <w:p>
      <w:pPr>
        <w:spacing w:after="160" w:line="276"/>
        <w:ind w:left="720" w:hanging="720"/>
      </w:pPr>
      <w:r>
        <w:rPr>
          <w:b/>
          <w:bCs/>
        </w:rPr>
        <w:t xml:space="preserve">INTERROGATORY NO. 16:  </w:t>
      </w:r>
      <w:r>
        <w:t xml:space="preserve">State the date on which Your litigation hold concerning this matter was issued, its recipients, its scope, and each update to it.</w:t>
      </w:r>
    </w:p>
    <w:p>
      <w:pPr>
        <w:spacing w:after="160" w:before="0" w:line="240" w:lineRule="auto"/>
        <w:ind w:left="720" w:hanging="720"/>
      </w:pPr>
      <w:r>
        <w:rPr>
          <w:b/>
        </w:rPr>
        <w:t xml:space="preserve">INTERROGATORY NO. 17:  </w:t>
      </w:r>
      <w:r>
        <w:t>Describe Your policies, procedures, and practices for retaining, reviewing, evaluating, and accepting or rejecting third-party inspection reports and engineering reports on property claims, including the Hancock Claims Consultants and Prieve Engineering reports in The Claim, stating: (a) who within Farmers reviews such reports; (b) what independent review or analysis, if any, Farmers performs of a vendor’s findings and conclusions before relying on them; (c) whether and how an adjuster or supervisor may accept, modify, or reject a vendor’s conclusions; and (d) the review actually performed of the Hancock and Prieve reports in The Claim, identifying each person involved and each document created.</w:t>
      </w:r>
    </w:p>
    <w:p>
      <w:pPr>
        <w:spacing w:after="160" w:before="0" w:line="240" w:lineRule="auto"/>
        <w:ind w:left="720" w:hanging="720"/>
      </w:pPr>
      <w:r>
        <w:rPr>
          <w:b/>
        </w:rPr>
        <w:t xml:space="preserve">INTERROGATORY NO. 18:  </w:t>
      </w:r>
      <w:r>
        <w:t>Identify, for each of the following, the specific legal entity that performed the act, and state that entity’s form and state of organization: (a) the entity that issued and underwrote The Policy; (b) the entity that employed or engaged Nicholas Brau, Bradlee Monson, Christian Dudley, and Peter Pietila at the time of their involvement in The Claim; (c) the entity that made the coverage decisions communicated in the September 3, 2024 and November 4, 2024 letters; (d) the entity that retained Hancock Claims Consultants and Prieve Engineering, LLC; (e) the entity that maintains the claim file for The Claim and The 2020 Claim; and (f) the entity that appointed Greg Tomes as appraiser. For each, state the basis of the relationship between that entity and Fire Insurance Exchange, and identify the subscription agreement, power of attorney, or other instrument governing the attorney-in-fact relationship between Fire Insurance Exchange and Fire Underwriters Association.</w:t>
      </w:r>
    </w:p>
    <w:p>
      <w:pPr>
        <w:spacing w:after="160" w:before="0" w:line="240" w:lineRule="auto"/>
        <w:ind w:left="720" w:hanging="720"/>
      </w:pPr>
      <w:r>
        <w:rPr>
          <w:b/>
        </w:rPr>
        <w:t xml:space="preserve">INTERROGATORY NO. 19:  </w:t>
      </w:r>
      <w:r>
        <w:t>Identify each person known to You to have knowledge of any fact at issue in this action, including without limitation facts relating to The Claim, The 2020 Claim, any inspection of The Property, the appraisal, or the denial decisions, and state the subject matter of each person’s knowledge.</w:t>
      </w:r>
    </w:p>
    <w:p>
      <w:pPr>
        <w:spacing w:after="160" w:before="0" w:line="240" w:lineRule="auto"/>
        <w:ind w:left="720" w:hanging="720"/>
      </w:pPr>
      <w:r>
        <w:rPr>
          <w:b/>
        </w:rPr>
        <w:t xml:space="preserve">INTERROGATORY NO. 20:  </w:t>
      </w:r>
      <w:r>
        <w:t>For each document or item of information responsive to any discovery request in Plaintiffs’ First Sets that You contend no longer exists or cannot be located, identify the document or information by type, date, author, and subject matter; state the date and manner of its destruction or loss; identify the person who authorized or caused it and the retention policy or schedule under which it occurred; and identify each person who had custody of it.</w:t>
      </w:r>
    </w:p>
    <w:p>
      <w:pPr>
        <w:spacing w:after="160" w:before="200" w:line="276"/>
      </w:pPr>
      <w:r>
        <w:t>Pursuant to Minn. R. Civ. P. 33.01(a), Plaintiffs state that the foregoing interrogatories, counting each subdivision of separate questions as an interrogatory, number fewer than forty (40) and do not exceed the fifty (50) interrogatories permitted without leave of court. Plaintiffs reserve the right to serve additional interrogatories by stipulation or upon leave of court.</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Interrogatories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2026-08-09T23:29:21.979Z</dcterms:created>
  <dcterms:modified xsi:type="dcterms:W3CDTF">2026-08-09T23:29:21.993Z</dcterms:modified>
</cp:coreProperties>
</file>

<file path=docProps/custom.xml><?xml version="1.0" encoding="utf-8"?>
<Properties xmlns="http://schemas.openxmlformats.org/officeDocument/2006/custom-properties" xmlns:vt="http://schemas.openxmlformats.org/officeDocument/2006/docPropsVTypes"/>
</file>