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20" w:line="276"/>
        <w:ind w:left="360" w:hanging="36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20" w:line="276"/>
        <w:ind w:left="360" w:hanging="360"/>
      </w:pPr>
      <w:r>
        <w:rPr>
          <w:b/>
          <w:bCs/>
        </w:rPr>
        <w:t xml:space="preserve">"Plaintiffs" </w:t>
      </w:r>
      <w:r>
        <w:t xml:space="preserve">means Yibiao Lu and Jie Hu.</w:t>
      </w:r>
    </w:p>
    <w:p>
      <w:pPr>
        <w:spacing w:after="120" w:line="276"/>
        <w:ind w:left="360" w:hanging="360"/>
      </w:pPr>
      <w:r>
        <w:rPr>
          <w:b/>
          <w:bCs/>
        </w:rPr>
        <w:t xml:space="preserve">"The Claim" </w:t>
      </w:r>
      <w:r>
        <w:t xml:space="preserve">means Farmers claim number 7007986837-1-1, arising from the July 13, 2024 hail loss.</w:t>
      </w:r>
    </w:p>
    <w:p>
      <w:pPr>
        <w:spacing w:after="120" w:line="276"/>
        <w:ind w:left="360" w:hanging="360"/>
      </w:pPr>
      <w:r>
        <w:rPr>
          <w:b/>
          <w:bCs/>
        </w:rPr>
        <w:t xml:space="preserve">"The 2020 Claim" </w:t>
      </w:r>
      <w:r>
        <w:t xml:space="preserve">means Farmers claim number 3013539499-1.</w:t>
      </w:r>
    </w:p>
    <w:p>
      <w:pPr>
        <w:spacing w:after="120" w:line="276"/>
        <w:ind w:left="360" w:hanging="360"/>
      </w:pPr>
      <w:r>
        <w:rPr>
          <w:b/>
          <w:bCs/>
        </w:rPr>
        <w:t xml:space="preserve">"The Policy" </w:t>
      </w:r>
      <w:r>
        <w:t xml:space="preserve">means homeowner’s Policy 98055-49-65, including all endorsements, in force on July 13, 2024.</w:t>
      </w:r>
    </w:p>
    <w:p>
      <w:pPr>
        <w:spacing w:after="120" w:line="276"/>
        <w:ind w:left="360" w:hanging="360"/>
      </w:pPr>
      <w:r>
        <w:rPr>
          <w:b/>
          <w:bCs/>
        </w:rPr>
        <w:t xml:space="preserve">"The Property" </w:t>
      </w:r>
      <w:r>
        <w:t xml:space="preserve">means the insured dwelling at 17756 George Moran Dr., Eden Prairie, Minnesota 55347.</w:t>
      </w:r>
    </w:p>
    <w:p>
      <w:pPr>
        <w:spacing w:after="120" w:line="276"/>
        <w:ind w:left="360" w:hanging="360"/>
      </w:pPr>
      <w:r>
        <w:rPr>
          <w:b/>
          <w:bCs/>
        </w:rPr>
        <w:t xml:space="preserve">"The Prieve Report" </w:t>
      </w:r>
      <w:r>
        <w:t xml:space="preserve">means the report of Prieve Engineering, LLC, File #241008, together with all drafts thereof.</w:t>
      </w:r>
    </w:p>
    <w:p>
      <w:pPr>
        <w:spacing w:after="120" w:line="276"/>
        <w:ind w:left="360" w:hanging="360"/>
      </w:pPr>
      <w:r>
        <w:rPr>
          <w:b/>
          <w:bCs/>
        </w:rPr>
        <w:t xml:space="preserve">"The Appraisal Award" </w:t>
      </w:r>
      <w:r>
        <w:t xml:space="preserve">means the appraisal award entered September 12, 2025 under Minn. Stat. § 65A.01.</w:t>
      </w:r>
    </w:p>
    <w:p>
      <w:pPr>
        <w:spacing w:after="120" w:line="276"/>
        <w:ind w:left="360" w:hanging="36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20" w:line="276"/>
        <w:ind w:left="360" w:hanging="36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20" w:line="276"/>
        <w:ind w:left="360" w:hanging="360"/>
      </w:pPr>
      <w:r>
        <w:rPr>
          <w:b/>
          <w:bCs/>
        </w:rPr>
        <w:t xml:space="preserve">"Person" </w:t>
      </w:r>
      <w:r>
        <w:t xml:space="preserve">means any natural person or any business, legal, or governmental entity.</w:t>
      </w:r>
    </w:p>
    <w:p>
      <w:pPr>
        <w:spacing w:after="120" w:line="276"/>
        <w:ind w:left="360" w:hanging="36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20" w:line="276"/>
        <w:ind w:left="360" w:hanging="36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pPr>
      <w:r>
        <w:rPr>
          <w:b/>
          <w:bCs/>
        </w:rPr>
        <w:t xml:space="preserve">1.  </w:t>
      </w:r>
      <w:r>
        <w:t>Time period. Unless a particular request specifies otherwise, each request covers the period January 1, 2020 through the present, except that as to The Policy, the underwriting file for The Policy, and all claims made at The Property before The Claim, each request covers the period October 22, 2014 through the present.</w:t>
      </w:r>
    </w:p>
    <w:p>
      <w:pPr>
        <w:spacing w:after="160" w:line="276"/>
      </w:pPr>
      <w:r>
        <w:rPr>
          <w:b/>
          <w:bCs/>
        </w:rPr>
        <w:t xml:space="preserve">2.  </w:t>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pPr>
      <w:r>
        <w:rPr>
          <w:b/>
          <w:bCs/>
        </w:rPr>
        <w:t xml:space="preserve">3.  </w:t>
      </w:r>
      <w:r>
        <w:t xml:space="preserve">Continuing duty. These requests are continuing. You must seasonably supplement or correct Your responses and production pursuant to Minn. R. Civ. P. 26.05.</w:t>
      </w:r>
    </w:p>
    <w:p>
      <w:pPr>
        <w:spacing w:after="160" w:line="276"/>
      </w:pPr>
      <w:r>
        <w:rPr>
          <w:b/>
          <w:bCs/>
        </w:rPr>
        <w:t xml:space="preserve">4.  </w:t>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pPr>
      <w:r>
        <w:rPr>
          <w:b/>
          <w:bCs/>
        </w:rPr>
        <w:t xml:space="preserve">5.  </w:t>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pPr>
        <w:spacing w:after="160" w:line="276"/>
      </w:pPr>
      <w:r>
        <w:rPr>
          <w:b/>
          <w:bCs/>
        </w:rPr>
        <w:t xml:space="preserve">6.  </w:t>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pPr>
      <w:r>
        <w:rPr>
          <w:b/>
          <w:bCs/>
        </w:rPr>
        <w:t xml:space="preserve">7.  </w:t>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line="276"/>
      </w:pPr>
      <w:r>
        <w:rPr>
          <w:b/>
          <w:bCs/>
        </w:rPr>
        <w:t xml:space="preserve">8.  </w:t>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pPr>
        <w:spacing w:after="160" w:line="276"/>
      </w:pPr>
      <w:r>
        <w:rPr>
          <w:b/>
          <w:bCs/>
        </w:rPr>
        <w:t xml:space="preserve">9.  </w:t>
      </w:r>
      <w:r>
        <w:t>Partial objections. If You object to any part of a request, produce all documents responsive to the remainder. As Minn. R. Civ. P. 34.02 requires, each objection must state whether any responsive materials are being withheld on the basis of that objection.</w:t>
      </w:r>
    </w:p>
    <w:p>
      <w:pPr>
        <w:spacing w:after="160" w:line="276"/>
      </w:pPr>
      <w:r>
        <w:rPr>
          <w:b/>
          <w:bCs/>
        </w:rPr>
        <w:t xml:space="preserve">10.  </w:t>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pPr>
        <w:spacing w:after="160" w:line="276"/>
      </w:pPr>
      <w:r>
        <w:rPr>
          <w:b/>
          <w:bCs/>
        </w:rPr>
        <w:t xml:space="preserve">11.  </w:t>
      </w:r>
      <w:r>
        <w:t>Duplicative documents. A document responsive to more than one request need be produced only once, provided the production identifies each request to which it responds.</w:t>
      </w:r>
    </w:p>
    <w:p>
      <w:pPr>
        <w:spacing w:after="160" w:before="200"/>
        <w:jc w:val="center"/>
      </w:pPr>
      <w:r>
        <w:rPr>
          <w:b/>
          <w:bCs/>
          <w:caps/>
        </w:rPr>
        <w:t xml:space="preserve">Requests for Production</w:t>
      </w:r>
    </w:p>
    <w:p>
      <w:pPr>
        <w:spacing w:after="160" w:line="276"/>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pPr>
      <w:r>
        <w:rPr>
          <w:b/>
          <w:bCs/>
        </w:rPr>
        <w:t xml:space="preserve">REQUEST FOR PRODUCTION NO. 5:  </w:t>
      </w:r>
      <w:r>
        <w:t>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pPr>
        <w:spacing w:after="160" w:line="276"/>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pPr>
      <w:r>
        <w:rPr>
          <w:b/>
          <w:bCs/>
        </w:rPr>
        <w:t xml:space="preserve">REQUEST FOR PRODUCTION NO. 11:  </w:t>
      </w:r>
      <w:r>
        <w:t xml:space="preserve">All internal Farmers communications from January 1, 2020 forward using the phrases "engineer’s report only," "engineer required," "non-engineer evidence," or any substantively similar phrase.</w:t>
      </w:r>
    </w:p>
    <w:p>
      <w:pPr>
        <w:spacing w:after="160" w:line="276"/>
      </w:pPr>
      <w:r>
        <w:rPr>
          <w:b/>
          <w:bCs/>
        </w:rPr>
        <w:t xml:space="preserve">REQUEST FOR PRODUCTION NO. 12:  </w:t>
      </w:r>
      <w:r>
        <w:t>Any log, report, tracking record, or database entry reflecting the acceptance or rejection of evidence not prepared by a licensed engineer on Minnesota hail claims from January 1, 2023 through the present.</w:t>
      </w:r>
    </w:p>
    <w:p>
      <w:pPr>
        <w:spacing w:after="160" w:line="276"/>
      </w:pPr>
      <w:r>
        <w:rPr>
          <w:b/>
          <w:bCs/>
        </w:rPr>
        <w:t xml:space="preserve">REQUEST FOR PRODUCTION NO. 13:  </w:t>
      </w:r>
      <w:r>
        <w:t xml:space="preserve">Any reservation-of-rights letter ever issued on The Claim.</w:t>
      </w:r>
    </w:p>
    <w:p>
      <w:pPr>
        <w:spacing w:after="160" w:line="276"/>
      </w:pPr>
      <w:r>
        <w:rPr>
          <w:b/>
          <w:bCs/>
        </w:rPr>
        <w:t xml:space="preserve">REQUEST FOR PRODUCTION NO. 14:  </w:t>
      </w:r>
      <w:r>
        <w:t>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counsel, and expressly reserve the right to seek the notice itself upon a showing that responsive documents have been lost or destroyed.</w:t>
      </w:r>
    </w:p>
    <w:p>
      <w:pPr>
        <w:spacing w:after="160" w:line="276"/>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pPr>
      <w:r>
        <w:rPr>
          <w:b/>
          <w:bCs/>
        </w:rPr>
        <w:t xml:space="preserve">REQUEST FOR PRODUCTION NO. 16:  </w:t>
      </w:r>
      <w:r>
        <w:t>All documents in Your possession, custody, or control that You sent to or received from umpire Wade Roos, or that constitute any portion of his working file for the September 12, 2025 appraisal, including notes, calculations, photographs, measurements, drafts, worksheets, invoices, and communications. If You possess no report, estimate, worksheet, calculation, or methodology document from Mr. Roos supporting the $12,800 Replacement Cost Value or the $6,400 Actual Cash Value, state that expressly in Your response.</w:t>
      </w:r>
    </w:p>
    <w:p>
      <w:pPr>
        <w:spacing w:after="160" w:line="276"/>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pPr>
        <w:spacing w:after="160" w:line="276"/>
      </w:pPr>
      <w:r>
        <w:rPr>
          <w:b/>
          <w:bCs/>
        </w:rPr>
        <w:t xml:space="preserve">REQUEST FOR PRODUCTION NO. 18:  </w:t>
      </w:r>
      <w:r>
        <w:t xml:space="preserve">All correspondence with the Minnesota Department of Commerce regarding Complaint ID 93547.</w:t>
      </w:r>
    </w:p>
    <w:p>
      <w:pPr>
        <w:spacing w:after="160" w:line="276"/>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pPr>
      <w:r>
        <w:rPr>
          <w:b/>
          <w:bCs/>
        </w:rPr>
        <w:t xml:space="preserve">REQUEST FOR PRODUCTION NO. 20:  </w:t>
      </w:r>
      <w:r>
        <w:t xml:space="preserve">The complete claims-portal record for The Claim, including all messages, document uploads, and status entries.</w:t>
      </w:r>
    </w:p>
    <w:p>
      <w:pPr>
        <w:spacing w:after="160" w:line="276"/>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pPr>
        <w:spacing w:after="160" w:line="276"/>
      </w:pPr>
      <w:r>
        <w:rPr>
          <w:b/>
          <w:bCs/>
        </w:rPr>
        <w:t xml:space="preserve">REQUEST FOR PRODUCTION NO. 22:  </w:t>
      </w:r>
      <w:r>
        <w:t xml:space="preserve">All prior-claim inspection records for The Property, including the inspection records for the 2014, 2015, and 2020 claims.</w:t>
      </w:r>
    </w:p>
    <w:p>
      <w:pPr>
        <w:spacing w:after="160" w:line="276"/>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pPr>
      <w:r>
        <w:rPr>
          <w:b/>
          <w:bCs/>
        </w:rPr>
        <w:t xml:space="preserve">REQUEST FOR PRODUCTION NO. 28:  </w:t>
      </w:r>
      <w:r>
        <w:t>Documents sufficient to show, for each Minnesota residential property claim involving hail on which You or any Farmers affiliate engaged Hancock Claims Consultants from January 1, 2020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pPr>
        <w:spacing w:after="160" w:line="276"/>
      </w:pPr>
      <w:r>
        <w:rPr>
          <w:b/>
          <w:bCs/>
        </w:rPr>
        <w:t xml:space="preserve">REQUEST FOR PRODUCTION NO. 29:  </w:t>
      </w:r>
      <w:r>
        <w:t xml:space="preserve">All internal Farmers communications referring to The Appraisal Award from September 12, 2025 through the date of production.</w:t>
      </w:r>
    </w:p>
    <w:p>
      <w:pPr>
        <w:spacing w:after="160" w:line="276"/>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pPr>
      <w:r>
        <w:rPr>
          <w:b/>
        </w:rPr>
        <w:t xml:space="preserve">REQUEST FOR PRODUCTION NO. 33:  </w:t>
      </w:r>
      <w:r>
        <w:rP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all documents showing the derivation of the $6,400 Actual Cash Value stated in The Appraisal Award, including any worksheet, calculation, or communication allocating that figure between the awarded windows; and the Xactimate or other estimating-platform price lists for Hennepin County, Minnesota in effect from July 2024 through the present.</w:t>
      </w:r>
    </w:p>
    <w:p>
      <w:pPr>
        <w:spacing w:after="160" w:before="0" w:line="240" w:lineRule="auto"/>
      </w:pPr>
      <w:r>
        <w:rPr>
          <w:b/>
        </w:rPr>
        <w:t xml:space="preserve">REQUEST FOR PRODUCTION NO. 34:  </w:t>
      </w:r>
      <w:r>
        <w:rP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pPr>
        <w:spacing w:after="160" w:before="0" w:line="240" w:lineRule="auto"/>
      </w:pPr>
      <w:r>
        <w:rPr>
          <w:b/>
        </w:rPr>
        <w:t xml:space="preserve">REQUEST FOR PRODUCTION NO. 35:  </w:t>
      </w:r>
      <w:r>
        <w:rP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pPr>
        <w:spacing w:after="160" w:before="0" w:line="240" w:lineRule="auto"/>
      </w:pPr>
      <w:r>
        <w:rPr>
          <w:b/>
        </w:rPr>
        <w:t xml:space="preserve">REQUEST FOR PRODUCTION NO. 36:  </w:t>
      </w:r>
      <w:r>
        <w:rPr/>
        <w:t>All audio recordings, voicemail messages, transcripts, call notes, and telephone logs relating to The Claim or The 2020 Claim, including the February 3, 2025 telephone call between Bradlee Monson and Yibiao Lu and the February 10, 2025 voicemail from Nicholas Brau, together with all documents stating Your retention policy for call recordings, voicemail messages, and telephone logs.</w:t>
      </w:r>
    </w:p>
    <w:p>
      <w:pPr>
        <w:spacing w:after="160" w:before="0" w:line="240" w:lineRule="auto"/>
      </w:pPr>
      <w:r>
        <w:rPr>
          <w:b/>
        </w:rPr>
        <w:t xml:space="preserve">REQUEST FOR PRODUCTION NO. 37:  </w:t>
      </w:r>
      <w:r>
        <w:rP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pPr>
        <w:spacing w:after="160" w:before="0" w:line="240" w:lineRule="auto"/>
      </w:pPr>
      <w:r>
        <w:rPr>
          <w:b/>
        </w:rPr>
        <w:t xml:space="preserve">REQUEST FOR PRODUCTION NO. 38:  </w:t>
      </w:r>
      <w:r>
        <w:rP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pPr>
        <w:spacing w:after="160" w:before="0" w:line="240" w:lineRule="auto"/>
      </w:pPr>
      <w:r>
        <w:rPr>
          <w:b/>
        </w:rPr>
        <w:t xml:space="preserve">REQUEST FOR PRODUCTION NO. 39:  </w:t>
      </w:r>
      <w:r>
        <w:rPr/>
        <w:t>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Roos, by Pure Construction, or by any person acting on Your behalf, and all communications in which either designation appears.</w:t>
      </w:r>
    </w:p>
    <w:p>
      <w:pPr>
        <w:spacing w:after="160" w:before="0" w:line="240" w:lineRule="auto"/>
      </w:pPr>
      <w:r>
        <w:rPr>
          <w:b/>
        </w:rPr>
        <w:t xml:space="preserve">REQUEST FOR PRODUCTION NO. 40:  </w:t>
      </w:r>
      <w:r>
        <w:rPr/>
        <w:t xml:space="preserve">All documents stating or reflecting Your interpretation, guidance, training, or claims-handling practice concerning Endorsement J6944 (Limited Matching of Undamaged Property) and concerning the matching obligation addressed in </w:t>
      </w:r>
      <w:r>
        <w:rPr>
          <w:i/>
        </w:rPr>
        <w:t>Cedar Bluff Townhome Condominium Ass'n v. American Family Mut. Ins. Co.</w:t>
      </w:r>
      <w:r>
        <w:rPr/>
        <w:t>, 857 N.W.2d 290 (Minn. 2014), as applied to Minnesota property claims, including any guidance concerning claims in which the original manufacturer of the damaged property has ceased production or the original product is no longer available.</w:t>
      </w:r>
    </w:p>
    <w:p>
      <w:pPr>
        <w:spacing w:after="160" w:before="0" w:line="240" w:lineRule="auto"/>
      </w:pPr>
      <w:r>
        <w:rPr>
          <w:b/>
        </w:rPr>
        <w:t xml:space="preserve">REQUEST FOR PRODUCTION NO. 41:  </w:t>
      </w:r>
      <w:r>
        <w:rPr/>
        <w:t>All documents concerning water intrusion, water entry, window leaks, staining, mold, or resulting damage at The Property from July 13, 2024 through the present, including claim entries, communications, inspections, evaluations, photographs, and vendor or engineering observations. This request also seeks all documents supporting (a) Your November 4, 2024 statement that "[o]ur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pPr>
        <w:spacing w:after="160" w:before="240"/>
      </w:pPr>
      <w:r>
        <w:t xml:space="preserve">Dated: ______________, 2026.</w:t>
      </w:r>
    </w:p>
    <w:p>
      <w:pPr>
        <w:spacing w:after="160"/>
      </w:pPr>
      <w:r>
        <w:t xml:space="preserve">Respectfully submitted,</w:t>
      </w:r>
    </w:p>
    <w:p>
      <w:pPr>
        <w:spacing w:after="0" w:before="240"/>
      </w:pPr>
      <w:r>
        <w:t xml:space="preserve">______________________________</w:t>
      </w:r>
    </w:p>
    <w:p>
      <w:pPr>
        <w:spacing w:after="0"/>
      </w:pPr>
      <w:r>
        <w:t xml:space="preserve">Yibiao Lu, Plaintiff </w:t>
      </w:r>
      <w:r>
        <w:rPr>
          <w:i/>
          <w:iCs/>
        </w:rPr>
        <w:t xml:space="preserve">pro se</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 xml:space="preserve">Telephone: ______________   Email: ______________</w:t>
      </w:r>
    </w:p>
    <w:p>
      <w:pPr>
        <w:spacing w:after="160" w:before="360"/>
        <w:jc w:val="center"/>
      </w:pPr>
      <w:r>
        <w:rPr>
          <w:b/>
          <w:bCs/>
        </w:rPr>
        <w:t xml:space="preserve">CERTIFICATE OF SERVICE</w:t>
      </w:r>
    </w:p>
    <w:p>
      <w:pPr>
        <w:spacing w:after="160" w:line="276"/>
      </w:pPr>
      <w:r>
        <w:t xml:space="preserve">The undersigned certifies that on ______________, 2026, a true and correct copy of </w:t>
      </w:r>
      <w:r>
        <w:rPr>
          <w:i/>
          <w:iCs/>
        </w:rPr>
        <w:t xml:space="preserve">Plaintiffs’ First Set of Requests for Production of Documents to Defendant Fire Insurance Exchange</w:t>
      </w:r>
      <w:r>
        <w:t xml:space="preserve"> was served upon Defendant, through its attorney of record (or upon Defendant directly if no attorney has appeared), by ______________ [e-service through the Minnesota eFS system / email / U.S. Mail], at ______________, in accordance with Minn. R. Civ. P. 5. These discovery requests are served, not filed, in accordance with Minn. R. Civ. P. 5.04(b).</w:t>
      </w:r>
    </w:p>
    <w:p>
      <w:pPr>
        <w:spacing w:after="0" w:before="240"/>
      </w:pPr>
      <w:r>
        <w:t xml:space="preserve">______________________________</w:t>
      </w:r>
    </w:p>
    <w:p>
      <w:pPr>
        <w:spacing w:after="0"/>
      </w:pPr>
      <w:r>
        <w:t xml:space="preserve">Yibiao Lu, Plaintiff </w:t>
      </w:r>
      <w:r>
        <w:rPr>
          <w:i/>
          <w:iCs/>
        </w:rPr>
        <w:t xml:space="preserve">pro 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