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upper-level bedroom window on the west side, south of the entry (photographs A-59 through A-65),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four-season porch windows (photographs A-167 through A-175), the north-facing porch window (photographs A-176 through A-183, which Defendant's engineer attributes to the 2020 prior claim — an attribution Plaintiffs dispute as to all sashes beyond the two previously paid),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