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rPr>
        <w:t>SUMMARY-JUDGMENT RESPONSE PLAYBOOK &amp; TIMELINE CHECKLIST</w:t>
      </w:r>
    </w:p>
    <w:p>
      <w:pPr>
        <w:spacing w:after="120" w:before="0" w:line="240" w:lineRule="auto"/>
        <w:jc w:val="center"/>
      </w:pPr>
      <w:r>
        <w:rPr>
          <w:b w:val="0"/>
          <w:i w:val="0"/>
        </w:rPr>
        <w:t>Lu and Hu v. Fire Insurance Exchange — No. 27-CV-26-11606</w:t>
      </w:r>
    </w:p>
    <w:p>
      <w:pPr>
        <w:spacing w:after="200" w:before="0" w:line="240" w:lineRule="auto"/>
      </w:pPr>
      <w:r>
        <w:rPr>
          <w:b/>
          <w:i/>
        </w:rPr>
        <w:t xml:space="preserve">Not legal advice — a working checklist. </w:t>
      </w:r>
      <w:r>
        <w:rPr>
          <w:b w:val="0"/>
          <w:i/>
        </w:rPr>
        <w:t>Confirm every deadline against Minn. Gen. R. Prac. 115, Minn. R. Civ. P. 56, and the Court's scheduling order. All periods run from the hearing date and are counted in calendar days.</w:t>
      </w:r>
    </w:p>
    <w:p>
      <w:pPr>
        <w:spacing w:after="80" w:before="0" w:line="240" w:lineRule="auto"/>
      </w:pPr>
      <w:r>
        <w:rPr>
          <w:b/>
          <w:i w:val="0"/>
        </w:rPr>
        <w:t>A.  Backward timeline (everything counts from the hearing date)</w:t>
      </w:r>
    </w:p>
    <w:tbl>
      <w:tblPr>
        <w:tblStyle w:val="TableGrid"/>
        <w:tblW w:type="auto" w:w="0"/>
        <w:jc w:val="center"/>
        <w:tblLook w:firstColumn="1" w:firstRow="1" w:lastColumn="0" w:lastRow="0" w:noHBand="0" w:noVBand="1" w:val="04A0"/>
      </w:tblPr>
      <w:tblGrid>
        <w:gridCol w:w="4680"/>
        <w:gridCol w:w="4680"/>
      </w:tblGrid>
      <w:tr>
        <w:tc>
          <w:tcPr>
            <w:tcW w:type="dxa" w:w="2600"/>
          </w:tcPr>
          <w:p>
            <w:pPr>
              <w:spacing w:after="0" w:before="0" w:line="240" w:lineRule="auto"/>
            </w:pPr>
            <w:r>
              <w:rPr>
                <w:b/>
              </w:rPr>
              <w:t>When</w:t>
            </w:r>
          </w:p>
        </w:tc>
        <w:tc>
          <w:tcPr>
            <w:tcW w:type="dxa" w:w="6760"/>
          </w:tcPr>
          <w:p>
            <w:pPr>
              <w:spacing w:after="0" w:before="0" w:line="240" w:lineRule="auto"/>
            </w:pPr>
            <w:r>
              <w:rPr>
                <w:b/>
              </w:rPr>
              <w:t>Event / Action</w:t>
            </w:r>
          </w:p>
        </w:tc>
      </w:tr>
      <w:tr>
        <w:tc>
          <w:tcPr>
            <w:tcW w:type="dxa" w:w="2600"/>
          </w:tcPr>
          <w:p>
            <w:pPr>
              <w:spacing w:after="0" w:before="0" w:line="240" w:lineRule="auto"/>
            </w:pPr>
            <w:r>
              <w:rPr>
                <w:b/>
              </w:rPr>
              <w:t>Hearing date</w:t>
            </w:r>
          </w:p>
        </w:tc>
        <w:tc>
          <w:tcPr>
            <w:tcW w:type="dxa" w:w="6760"/>
          </w:tcPr>
          <w:p>
            <w:pPr>
              <w:spacing w:after="0" w:before="0" w:line="240" w:lineRule="auto"/>
            </w:pPr>
            <w:r>
              <w:t>Set by the moving party through the court administrator (Rule 115.02). Anchor all other dates to it.</w:t>
            </w:r>
          </w:p>
        </w:tc>
      </w:tr>
      <w:tr>
        <w:tc>
          <w:tcPr>
            <w:tcW w:type="dxa" w:w="2600"/>
          </w:tcPr>
          <w:p>
            <w:pPr>
              <w:spacing w:after="0" w:before="0" w:line="240" w:lineRule="auto"/>
            </w:pPr>
            <w:r>
              <w:rPr>
                <w:b/>
              </w:rPr>
              <w:t>≥ 28 days before</w:t>
            </w:r>
          </w:p>
        </w:tc>
        <w:tc>
          <w:tcPr>
            <w:tcW w:type="dxa" w:w="6760"/>
          </w:tcPr>
          <w:p>
            <w:pPr>
              <w:spacing w:after="0" w:before="0" w:line="240" w:lineRule="auto"/>
            </w:pPr>
            <w:r>
              <w:t>FIE serves &amp; files its moving papers: notice, motion, memorandum (≤ 35 pp), affidavits/exhibits, proposed order.</w:t>
            </w:r>
          </w:p>
        </w:tc>
      </w:tr>
      <w:tr>
        <w:tc>
          <w:tcPr>
            <w:tcW w:type="dxa" w:w="2600"/>
          </w:tcPr>
          <w:p>
            <w:pPr>
              <w:spacing w:after="0" w:before="0" w:line="240" w:lineRule="auto"/>
            </w:pPr>
            <w:r>
              <w:rPr>
                <w:b/>
              </w:rPr>
              <w:t>≥ 14 days before</w:t>
            </w:r>
          </w:p>
        </w:tc>
        <w:tc>
          <w:tcPr>
            <w:tcW w:type="dxa" w:w="6760"/>
          </w:tcPr>
          <w:p>
            <w:pPr>
              <w:spacing w:after="0" w:before="0" w:line="240" w:lineRule="auto"/>
            </w:pPr>
            <w:r>
              <w:t>OUR OPPOSITION DUE — memorandum (≤ 35 pp), affidavits/exhibits, proposed order. FIRM DEADLINE.</w:t>
            </w:r>
          </w:p>
        </w:tc>
      </w:tr>
      <w:tr>
        <w:tc>
          <w:tcPr>
            <w:tcW w:type="dxa" w:w="2600"/>
          </w:tcPr>
          <w:p>
            <w:pPr>
              <w:spacing w:after="0" w:before="0" w:line="240" w:lineRule="auto"/>
            </w:pPr>
            <w:r>
              <w:rPr>
                <w:b/>
              </w:rPr>
              <w:t>≥ 7 days before</w:t>
            </w:r>
          </w:p>
        </w:tc>
        <w:tc>
          <w:tcPr>
            <w:tcW w:type="dxa" w:w="6760"/>
          </w:tcPr>
          <w:p>
            <w:pPr>
              <w:spacing w:after="0" w:before="0" w:line="240" w:lineRule="auto"/>
            </w:pPr>
            <w:r>
              <w:t>FIE may serve a reply (new matters only; moving + reply ≤ 35 pp combined).</w:t>
            </w:r>
          </w:p>
        </w:tc>
      </w:tr>
      <w:tr>
        <w:tc>
          <w:tcPr>
            <w:tcW w:type="dxa" w:w="2600"/>
          </w:tcPr>
          <w:p>
            <w:pPr>
              <w:spacing w:after="0" w:before="0" w:line="240" w:lineRule="auto"/>
            </w:pPr>
            <w:r>
              <w:rPr>
                <w:b/>
              </w:rPr>
              <w:t>Hearing</w:t>
            </w:r>
          </w:p>
        </w:tc>
        <w:tc>
          <w:tcPr>
            <w:tcW w:type="dxa" w:w="6760"/>
          </w:tcPr>
          <w:p>
            <w:pPr>
              <w:spacing w:after="0" w:before="0" w:line="240" w:lineRule="auto"/>
            </w:pPr>
            <w:r>
              <w:t>Oral argument.</w:t>
            </w:r>
          </w:p>
        </w:tc>
      </w:tr>
      <w:tr>
        <w:tc>
          <w:tcPr>
            <w:tcW w:type="dxa" w:w="2600"/>
          </w:tcPr>
          <w:p>
            <w:pPr>
              <w:spacing w:after="0" w:before="0" w:line="240" w:lineRule="auto"/>
            </w:pPr>
            <w:r>
              <w:rPr>
                <w:b/>
              </w:rPr>
              <w:t>~ within 90 days</w:t>
            </w:r>
          </w:p>
        </w:tc>
        <w:tc>
          <w:tcPr>
            <w:tcW w:type="dxa" w:w="6760"/>
          </w:tcPr>
          <w:p>
            <w:pPr>
              <w:spacing w:after="0" w:before="0" w:line="240" w:lineRule="auto"/>
            </w:pPr>
            <w:r>
              <w:t>Court issues its order (Minn. Stat. § 546.27).</w:t>
            </w:r>
          </w:p>
        </w:tc>
      </w:tr>
    </w:tbl>
    <w:p>
      <w:pPr>
        <w:spacing w:after="160" w:before="80" w:line="240" w:lineRule="auto"/>
      </w:pPr>
      <w:r>
        <w:rPr>
          <w:b/>
          <w:i w:val="0"/>
        </w:rPr>
        <w:t xml:space="preserve">Limits on when FIE may move (Rule 56.02): </w:t>
      </w:r>
      <w:r>
        <w:rPr>
          <w:b w:val="0"/>
          <w:i w:val="0"/>
        </w:rPr>
        <w:t>not more than 30 days after the close of all discovery, and within the scheduling order's dispositive-motion deadline. A party may otherwise move at any time — which triggers Part B.</w:t>
      </w:r>
    </w:p>
    <w:p>
      <w:pPr>
        <w:spacing w:after="80" w:before="0" w:line="240" w:lineRule="auto"/>
      </w:pPr>
      <w:r>
        <w:rPr>
          <w:b/>
          <w:i w:val="0"/>
        </w:rPr>
        <w:t>B.  First triage — three questions the moment it is filed</w:t>
      </w:r>
    </w:p>
    <w:p>
      <w:pPr>
        <w:spacing w:after="120" w:before="0" w:line="240" w:lineRule="auto"/>
        <w:ind w:left="360"/>
      </w:pPr>
      <w:r>
        <w:rPr>
          <w:b/>
        </w:rPr>
        <w:t xml:space="preserve">1.  </w:t>
      </w:r>
      <w:r>
        <w:t>Is it labeled "judgment on the pleadings" (Rule 12.03)? If FIE attaches or relies on evidence outside the pleadings (the award, Prieve report, affidavits), the motion converts to summary judgment and we are entitled to a reasonable opportunity for Rule 56 discovery — insist on that conversion and opportunity. On the pleadings alone, our scope allegations are taken as true and the motion should fail.</w:t>
      </w:r>
    </w:p>
    <w:p>
      <w:pPr>
        <w:spacing w:after="120" w:before="0" w:line="240" w:lineRule="auto"/>
        <w:ind w:left="360"/>
      </w:pPr>
      <w:r>
        <w:rPr>
          <w:b/>
        </w:rPr>
        <w:t xml:space="preserve">2.  </w:t>
      </w:r>
      <w:r>
        <w:t>Is discovery still incomplete? If we do not yet have the scope answers, the Prieve native file, the 2020 file, the Brau notes, or our expert's opinion, FILE THE RULE 56.04 AFFIDAVIT to defer or deny the motion pending discovery (see the separate Rule 56.04 shell). This is the first move against an early motion.</w:t>
      </w:r>
    </w:p>
    <w:p>
      <w:pPr>
        <w:spacing w:after="120" w:before="0" w:line="240" w:lineRule="auto"/>
        <w:ind w:left="360"/>
      </w:pPr>
      <w:r>
        <w:rPr>
          <w:b/>
        </w:rPr>
        <w:t xml:space="preserve">3.  </w:t>
      </w:r>
      <w:r>
        <w:t>If ripe, build the opposition (Part C) around the three winning arguments (Part F). Note: SCOPE needs no expert; CAUSATION does — see Parts D-E.</w:t>
      </w:r>
    </w:p>
    <w:p>
      <w:pPr>
        <w:spacing w:after="80" w:before="0" w:line="240" w:lineRule="auto"/>
      </w:pPr>
      <w:r>
        <w:rPr>
          <w:b/>
          <w:i w:val="0"/>
        </w:rPr>
        <w:t>C.  Opposition package — pick the scenario</w:t>
      </w:r>
    </w:p>
    <w:p>
      <w:pPr>
        <w:spacing w:after="40" w:before="0" w:line="240" w:lineRule="auto"/>
      </w:pPr>
      <w:r>
        <w:rPr>
          <w:b/>
          <w:i w:val="0"/>
        </w:rPr>
        <w:t>Scenario 1 — FIE moves BEFORE the expert-discovery phase (early motion).</w:t>
      </w:r>
    </w:p>
    <w:p>
      <w:pPr>
        <w:spacing w:after="80" w:before="0" w:line="240" w:lineRule="auto"/>
      </w:pPr>
      <w:r>
        <w:rPr>
          <w:b w:val="0"/>
          <w:i w:val="0"/>
        </w:rPr>
        <w:t>Lead with Rule 56.04 and the documentary scope argument; a retained expert is NOT yet required. The scheduling order sets expert disclosures for mid-2027, so it is premature to demand a causation showing before then.</w:t>
      </w:r>
    </w:p>
    <w:p>
      <w:pPr>
        <w:spacing w:after="80" w:before="0" w:line="240" w:lineRule="auto"/>
        <w:ind w:left="720" w:hanging="360"/>
      </w:pPr>
      <w:r>
        <w:t xml:space="preserve">☐  </w:t>
      </w:r>
      <w:r>
        <w:rPr>
          <w:i w:val="0"/>
        </w:rPr>
        <w:t>Rule 56.04 affidavit asking the Court to defer or deny the motion pending discovery (use the separate shell).</w:t>
      </w:r>
    </w:p>
    <w:p>
      <w:pPr>
        <w:spacing w:after="80" w:before="0" w:line="240" w:lineRule="auto"/>
        <w:ind w:left="720" w:hanging="360"/>
      </w:pPr>
      <w:r>
        <w:t xml:space="preserve">☐  </w:t>
      </w:r>
      <w:r>
        <w:rPr>
          <w:i w:val="0"/>
        </w:rPr>
        <w:t>Short opposition memorandum on scope / Quade / no-jurisdiction — built on documents; no expert needed for these.</w:t>
      </w:r>
    </w:p>
    <w:p>
      <w:pPr>
        <w:spacing w:after="80" w:before="0" w:line="240" w:lineRule="auto"/>
        <w:ind w:left="720" w:hanging="360"/>
      </w:pPr>
      <w:r>
        <w:t xml:space="preserve">☐  </w:t>
      </w:r>
      <w:r>
        <w:rPr>
          <w:i w:val="0"/>
        </w:rPr>
        <w:t>Exhibits: the appraisal award; the appraisal demand; FIE's interrogatory answers on scope; Prieve Photo Appendix A; the scope tracker; the 2020 file; the two denial letters.</w:t>
      </w:r>
    </w:p>
    <w:p>
      <w:pPr>
        <w:spacing w:after="80" w:before="0" w:line="240" w:lineRule="auto"/>
        <w:ind w:left="720" w:hanging="360"/>
      </w:pPr>
      <w:r>
        <w:t xml:space="preserve">☐  </w:t>
      </w:r>
      <w:r>
        <w:rPr>
          <w:i w:val="0"/>
        </w:rPr>
        <w:t>Admissible public weather records (NWS / ASOS) documenting the July 13-14, 2024 hail event.</w:t>
      </w:r>
    </w:p>
    <w:p>
      <w:pPr>
        <w:spacing w:after="80" w:before="0" w:line="240" w:lineRule="auto"/>
        <w:ind w:left="720" w:hanging="360"/>
      </w:pPr>
      <w:r>
        <w:t xml:space="preserve">☐  </w:t>
      </w:r>
      <w:r>
        <w:rPr>
          <w:i w:val="0"/>
        </w:rPr>
        <w:t>Proposed order DENYING or DEFERRING the motion; file/serve through eFS at least 14 days before the hearing; keep proof of service.</w:t>
      </w:r>
    </w:p>
    <w:p>
      <w:pPr>
        <w:spacing w:after="40" w:before="120" w:line="240" w:lineRule="auto"/>
      </w:pPr>
      <w:r>
        <w:rPr>
          <w:b/>
          <w:i w:val="0"/>
        </w:rPr>
        <w:t>Scenario 2 — FIE moves AFTER expert discovery (ripe motion).</w:t>
      </w:r>
    </w:p>
    <w:p>
      <w:pPr>
        <w:spacing w:after="80" w:before="0" w:line="240" w:lineRule="auto"/>
      </w:pPr>
      <w:r>
        <w:rPr>
          <w:b w:val="0"/>
          <w:i w:val="0"/>
        </w:rPr>
        <w:t>Full opposition, now including the expert affidavit.</w:t>
      </w:r>
    </w:p>
    <w:p>
      <w:pPr>
        <w:spacing w:after="80" w:before="0" w:line="240" w:lineRule="auto"/>
        <w:ind w:left="720" w:hanging="360"/>
      </w:pPr>
      <w:r>
        <w:t xml:space="preserve">☐  </w:t>
      </w:r>
      <w:r>
        <w:rPr>
          <w:i w:val="0"/>
        </w:rPr>
        <w:t>Responsive memorandum of law (≤ 35 pages) organized around the three arguments in Part F.</w:t>
      </w:r>
    </w:p>
    <w:p>
      <w:pPr>
        <w:spacing w:after="80" w:before="0" w:line="240" w:lineRule="auto"/>
        <w:ind w:left="720" w:hanging="360"/>
      </w:pPr>
      <w:r>
        <w:t xml:space="preserve">☐  </w:t>
      </w:r>
      <w:r>
        <w:rPr>
          <w:i w:val="0"/>
        </w:rPr>
        <w:t>Affidavit of Yibiao Lu authenticating the exhibits and establishing personal-knowledge facts.</w:t>
      </w:r>
    </w:p>
    <w:p>
      <w:pPr>
        <w:spacing w:after="80" w:before="0" w:line="240" w:lineRule="auto"/>
        <w:ind w:left="720" w:hanging="360"/>
      </w:pPr>
      <w:r>
        <w:t xml:space="preserve">☐  </w:t>
      </w:r>
      <w:r>
        <w:rPr>
          <w:i w:val="0"/>
        </w:rPr>
        <w:t>Affidavit of the retained engineering expert creating the causation fact dispute and rebutting Prieve's methodology.</w:t>
      </w:r>
    </w:p>
    <w:p>
      <w:pPr>
        <w:spacing w:after="80" w:before="0" w:line="240" w:lineRule="auto"/>
        <w:ind w:left="720" w:hanging="360"/>
      </w:pPr>
      <w:r>
        <w:t xml:space="preserve">☐  </w:t>
      </w:r>
      <w:r>
        <w:rPr>
          <w:i w:val="0"/>
        </w:rPr>
        <w:t>All Scenario 1 exhibits, plus a clear identification of each fact FIE calls "undisputed," paired with the record evidence that disputes it.</w:t>
      </w:r>
    </w:p>
    <w:p>
      <w:pPr>
        <w:spacing w:after="80" w:before="0" w:line="240" w:lineRule="auto"/>
        <w:ind w:left="720" w:hanging="360"/>
      </w:pPr>
      <w:r>
        <w:t xml:space="preserve">☐  </w:t>
      </w:r>
      <w:r>
        <w:rPr>
          <w:i w:val="0"/>
        </w:rPr>
        <w:t>Proposed order DENYING the motion; file/serve through eFS at least 14 days before the hearing; keep proof of service.</w:t>
      </w:r>
    </w:p>
    <w:p>
      <w:pPr>
        <w:spacing w:after="80" w:before="0" w:line="240" w:lineRule="auto"/>
      </w:pPr>
      <w:r>
        <w:rPr>
          <w:b/>
          <w:i w:val="0"/>
        </w:rPr>
        <w:t>D.  Do you need an expert? Separate scope from causation</w:t>
      </w:r>
    </w:p>
    <w:p>
      <w:pPr>
        <w:spacing w:after="80" w:before="0" w:line="240" w:lineRule="auto"/>
        <w:ind w:left="720" w:hanging="360"/>
      </w:pPr>
      <w:r>
        <w:t xml:space="preserve">•  </w:t>
      </w:r>
      <w:r>
        <w:rPr>
          <w:i w:val="0"/>
        </w:rPr>
        <w:t>Scope (what the panel evaluated): NO expert needed. This is documentary + legal (Quade) — the award, the demand, FIE's interrogatory answers, and the Prieve appendix prove it. This is the cleanest path to defeat a "the award settled everything" motion.</w:t>
      </w:r>
    </w:p>
    <w:p>
      <w:pPr>
        <w:spacing w:after="80" w:before="0" w:line="240" w:lineRule="auto"/>
        <w:ind w:left="720" w:hanging="360"/>
      </w:pPr>
      <w:r>
        <w:t xml:space="preserve">•  </w:t>
      </w:r>
      <w:r>
        <w:rPr>
          <w:i w:val="0"/>
        </w:rPr>
        <w:t>Causation (was the other damage hail): an expert is essential for TRIAL, but at the SJ stage you can raise a genuine dispute without a fully retained expert — using FIE's own award finding hail, admissible public weather records, FIE's own engineer's photos of 25+ dented windows, and Prieve's internal contradictions.</w:t>
      </w:r>
    </w:p>
    <w:p>
      <w:pPr>
        <w:spacing w:after="80" w:before="0" w:line="240" w:lineRule="auto"/>
        <w:ind w:left="720" w:hanging="360"/>
      </w:pPr>
      <w:r>
        <w:t xml:space="preserve">•  </w:t>
      </w:r>
      <w:r>
        <w:rPr>
          <w:i w:val="0"/>
        </w:rPr>
        <w:t>Timing: the 2027 dates govern when you must DISCLOSE trial experts to FIE; they do not stop you from obtaining a short expert affidavit earlier for a motion. Retain the engineer early enough to have one available if a motion lands — and if FIE moves before the expert phase, that timing is itself your Rule 56.04 argument.</w:t>
      </w:r>
    </w:p>
    <w:p>
      <w:pPr>
        <w:spacing w:after="80" w:before="0" w:line="240" w:lineRule="auto"/>
      </w:pPr>
      <w:r>
        <w:rPr>
          <w:b/>
          <w:i w:val="0"/>
        </w:rPr>
        <w:t>E.  Using published literature (what it can and cannot do)</w:t>
      </w:r>
    </w:p>
    <w:p>
      <w:pPr>
        <w:spacing w:after="80" w:before="0" w:line="240" w:lineRule="auto"/>
        <w:ind w:left="720" w:hanging="360"/>
      </w:pPr>
      <w:r>
        <w:t xml:space="preserve">•  </w:t>
      </w:r>
      <w:r>
        <w:rPr>
          <w:i w:val="0"/>
        </w:rPr>
        <w:t>CAN: cite peer-reviewed literature in the brief to attack Prieve's methodology (e.g., that wind-driven hail produces elongated, off-center, scrape-marked impacts, contradicting Prieve's "smooth/rounded only" premise). This is argument and impeachment.</w:t>
      </w:r>
    </w:p>
    <w:p>
      <w:pPr>
        <w:spacing w:after="80" w:before="0" w:line="240" w:lineRule="auto"/>
        <w:ind w:left="720" w:hanging="360"/>
      </w:pPr>
      <w:r>
        <w:t xml:space="preserve">•  </w:t>
      </w:r>
      <w:r>
        <w:rPr>
          <w:i w:val="0"/>
        </w:rPr>
        <w:t>CANNOT: use a journal article as standalone proof that hail caused your damage. A paper is hearsay and is normally used THROUGH an expert (learned-treatise), not as a freestanding exhibit; the Court considers admissible evidence on summary judgment.</w:t>
      </w:r>
    </w:p>
    <w:p>
      <w:pPr>
        <w:spacing w:after="80" w:before="0" w:line="240" w:lineRule="auto"/>
        <w:ind w:left="720" w:hanging="360"/>
      </w:pPr>
      <w:r>
        <w:t xml:space="preserve">•  </w:t>
      </w:r>
      <w:r>
        <w:rPr>
          <w:i w:val="0"/>
        </w:rPr>
        <w:t>Exception: public weather RECORDS (NWS storm reports, ASOS data) are admissible on their own and establish the hail EVENT — distinct from an engineering causation opinion.</w:t>
      </w:r>
    </w:p>
    <w:p>
      <w:pPr>
        <w:spacing w:after="80" w:before="0" w:line="240" w:lineRule="auto"/>
      </w:pPr>
      <w:r>
        <w:rPr>
          <w:b/>
          <w:i w:val="0"/>
        </w:rPr>
        <w:t>F.  The three winning arguments (any one defeats the motion)</w:t>
      </w:r>
    </w:p>
    <w:p>
      <w:pPr>
        <w:spacing w:after="80" w:before="0" w:line="240" w:lineRule="auto"/>
        <w:ind w:left="720" w:hanging="360"/>
      </w:pPr>
      <w:r>
        <w:t xml:space="preserve">•  </w:t>
      </w:r>
      <w:r>
        <w:rPr>
          <w:i w:val="0"/>
        </w:rPr>
        <w:t>Scope / Quade. The panel evaluated only two windows; coverage and amount of loss for the 25+ documented windows it never evaluated remain live questions for the Court. Genuine fact dispute.</w:t>
      </w:r>
    </w:p>
    <w:p>
      <w:pPr>
        <w:spacing w:after="80" w:before="0" w:line="240" w:lineRule="auto"/>
        <w:ind w:left="720" w:hanging="360"/>
      </w:pPr>
      <w:r>
        <w:t xml:space="preserve">•  </w:t>
      </w:r>
      <w:r>
        <w:rPr>
          <w:i w:val="0"/>
        </w:rPr>
        <w:t>No jurisdiction over unsubmitted components. The appraisal demand listed only Windows and Siding; downspouts, flashing, and doors were never submitted, so the award cannot bar them. Legal point.</w:t>
      </w:r>
    </w:p>
    <w:p>
      <w:pPr>
        <w:spacing w:after="80" w:before="0" w:line="240" w:lineRule="auto"/>
        <w:ind w:left="720" w:hanging="360"/>
      </w:pPr>
      <w:r>
        <w:t xml:space="preserve">•  </w:t>
      </w:r>
      <w:r>
        <w:rPr>
          <w:i w:val="0"/>
        </w:rPr>
        <w:t>Valuation / deductible not established. Because covered loss beyond the two windows is disputed, FIE cannot show as a matter of law that the total covered loss is under $17,720. Fact dispute.</w:t>
      </w:r>
    </w:p>
    <w:p>
      <w:pPr>
        <w:spacing w:after="160" w:before="80" w:line="240" w:lineRule="auto"/>
      </w:pPr>
      <w:r>
        <w:rPr>
          <w:b/>
          <w:i w:val="0"/>
        </w:rPr>
        <w:t xml:space="preserve">Preserve the alternative: </w:t>
      </w:r>
      <w:r>
        <w:rPr>
          <w:b w:val="0"/>
          <w:i w:val="0"/>
        </w:rPr>
        <w:t>even if the award is read as binding for what it decided, Count III's non-preclusion / remand / modification relief keeps the case alive, so summary judgment cannot dispose of everything.</w:t>
      </w:r>
    </w:p>
    <w:p>
      <w:pPr>
        <w:spacing w:after="80" w:before="0" w:line="240" w:lineRule="auto"/>
      </w:pPr>
      <w:r>
        <w:rPr>
          <w:b/>
          <w:i w:val="0"/>
        </w:rPr>
        <w:t>G.  Standard to keep front and center</w:t>
      </w:r>
    </w:p>
    <w:p>
      <w:pPr>
        <w:spacing w:after="160" w:before="0" w:line="240" w:lineRule="auto"/>
      </w:pPr>
      <w:r>
        <w:rPr>
          <w:b w:val="0"/>
          <w:i w:val="0"/>
        </w:rPr>
        <w:t>Summary judgment is granted only if there is no genuine issue of material fact and the movant is entitled to judgment as a matter of law. The Court views the evidence in the light most favorable to us and does not weigh credibility. We need only show a genuine dispute — not win the scope question on the motion.</w:t>
      </w:r>
    </w:p>
    <w:p>
      <w:pPr>
        <w:spacing w:after="80" w:before="0" w:line="240" w:lineRule="auto"/>
      </w:pPr>
      <w:r>
        <w:rPr>
          <w:b/>
          <w:i w:val="0"/>
        </w:rPr>
        <w:t>H.  After the ruling</w:t>
      </w:r>
    </w:p>
    <w:p>
      <w:pPr>
        <w:spacing w:after="80" w:before="0" w:line="240" w:lineRule="auto"/>
        <w:ind w:left="720" w:hanging="360"/>
      </w:pPr>
      <w:r>
        <w:t xml:space="preserve">•  </w:t>
      </w:r>
      <w:r>
        <w:rPr>
          <w:i w:val="0"/>
        </w:rPr>
        <w:t>Denied — proceed toward trial; the ruling narrows nothing.</w:t>
      </w:r>
    </w:p>
    <w:p>
      <w:pPr>
        <w:spacing w:after="80" w:before="0" w:line="240" w:lineRule="auto"/>
        <w:ind w:left="720" w:hanging="360"/>
      </w:pPr>
      <w:r>
        <w:t xml:space="preserve">•  </w:t>
      </w:r>
      <w:r>
        <w:rPr>
          <w:i w:val="0"/>
        </w:rPr>
        <w:t>Granted in part — confirm exactly which claims/items survive and continue on those.</w:t>
      </w:r>
    </w:p>
    <w:p>
      <w:pPr>
        <w:spacing w:after="80" w:before="0" w:line="240" w:lineRule="auto"/>
        <w:ind w:left="720" w:hanging="360"/>
      </w:pPr>
      <w:r>
        <w:t xml:space="preserve">•  </w:t>
      </w:r>
      <w:r>
        <w:rPr>
          <w:i w:val="0"/>
        </w:rPr>
        <w:t>Granted (a claim) — a final judgment is appealable; a partial judgment may require Rule 54.02 certification before appeal. Calendar appeal deadlines immediately.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