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W w:type="dxa" w:w="9360"/>
      </w:tblPr>
      <w:tblGrid>
        <w:gridCol w:w="4900"/>
        <w:gridCol w:w="4460"/>
      </w:tblGrid>
      <w:tr>
        <w:tc>
          <w:tcPr>
            <w:tcW w:type="dxa" w:w="4900"/>
            <w:tcBorders>
              <w:top w:val="none" w:color="FFFFFF" w:sz="0"/>
              <w:left w:val="none" w:color="FFFFFF" w:sz="0"/>
              <w:bottom w:val="none" w:color="FFFFFF" w:sz="0"/>
              <w:right w:val="single" w:color="000000" w:sz="6"/>
            </w:tcBorders>
          </w:tcPr>
          <w:p>
            <w:pPr>
              <w:spacing w:after="0" w:before="0" w:line="240" w:lineRule="auto"/>
            </w:pPr>
            <w:r>
              <w:t>STATE OF MINNESOTA</w:t>
            </w:r>
          </w:p>
          <w:p>
            <w:pPr>
              <w:spacing w:after="0" w:before="0" w:line="240" w:lineRule="auto"/>
            </w:pPr>
            <w:r>
              <w:t>COUNTY OF HENNEPIN</w:t>
            </w:r>
          </w:p>
          <w:p>
            <w:pPr>
              <w:spacing w:after="0" w:before="0" w:line="240" w:lineRule="auto"/>
            </w:pPr>
          </w:p>
          <w:p>
            <w:pPr>
              <w:spacing w:after="0" w:before="0" w:line="240" w:lineRule="auto"/>
            </w:pPr>
            <w:r>
              <w:t>Yibiao Lu and Jie Hu,</w:t>
            </w:r>
          </w:p>
          <w:p>
            <w:pPr>
              <w:spacing w:after="0" w:before="0" w:line="240" w:lineRule="auto"/>
            </w:pPr>
            <w:r>
              <w:tab/>
              <w:tab/>
              <w:tab/>
              <w:t>Plaintiffs,</w:t>
            </w:r>
          </w:p>
          <w:p>
            <w:pPr>
              <w:spacing w:after="0" w:before="0" w:line="240" w:lineRule="auto"/>
            </w:pPr>
          </w:p>
          <w:p>
            <w:pPr>
              <w:spacing w:after="0" w:before="0" w:line="240" w:lineRule="auto"/>
            </w:pPr>
            <w:r>
              <w:t>vs.</w:t>
            </w:r>
          </w:p>
          <w:p>
            <w:pPr>
              <w:spacing w:after="0" w:before="0" w:line="240" w:lineRule="auto"/>
            </w:pPr>
          </w:p>
          <w:p>
            <w:pPr>
              <w:spacing w:after="0" w:before="0" w:line="240" w:lineRule="auto"/>
            </w:pPr>
            <w:r>
              <w:t>Fire Insurance Exchange, by and through its attorney-in-fact Fire Underwriters Association, doing business as Farmers Insurance,</w:t>
            </w:r>
          </w:p>
          <w:p>
            <w:pPr>
              <w:spacing w:after="0" w:before="0" w:line="240" w:lineRule="auto"/>
            </w:pPr>
          </w:p>
          <w:p>
            <w:pPr>
              <w:spacing w:after="0" w:before="0" w:line="240" w:lineRule="auto"/>
            </w:pPr>
            <w:r>
              <w:tab/>
              <w:tab/>
              <w:tab/>
              <w:t>Defendant.</w:t>
            </w:r>
          </w:p>
        </w:tc>
        <w:tc>
          <w:tcPr>
            <w:tcW w:type="dxa" w:w="4460"/>
          </w:tcPr>
          <w:p>
            <w:pPr>
              <w:spacing w:after="0" w:before="0" w:line="240" w:lineRule="auto"/>
            </w:pPr>
            <w:r>
              <w:t>DISTRICT COURT</w:t>
            </w:r>
          </w:p>
          <w:p>
            <w:pPr>
              <w:spacing w:after="0" w:before="0" w:line="240" w:lineRule="auto"/>
            </w:pPr>
            <w:r>
              <w:t>FOURTH JUDICIAL DISTRICT</w:t>
            </w:r>
          </w:p>
          <w:p>
            <w:pPr>
              <w:spacing w:after="0" w:before="0" w:line="240" w:lineRule="auto"/>
            </w:pPr>
          </w:p>
          <w:p>
            <w:pPr>
              <w:spacing w:after="0" w:before="0" w:line="240" w:lineRule="auto"/>
            </w:pPr>
            <w:r>
              <w:t>Case Type: Contract</w:t>
            </w:r>
          </w:p>
          <w:p>
            <w:pPr>
              <w:spacing w:after="0" w:before="0" w:line="240" w:lineRule="auto"/>
            </w:pPr>
          </w:p>
          <w:p>
            <w:pPr>
              <w:spacing w:after="0" w:before="0" w:line="240" w:lineRule="auto"/>
            </w:pPr>
            <w:r>
              <w:t>Court File No. 27-CV-26-11606</w:t>
            </w:r>
          </w:p>
          <w:p>
            <w:pPr>
              <w:spacing w:after="0" w:before="0" w:line="240" w:lineRule="auto"/>
            </w:pPr>
          </w:p>
          <w:p>
            <w:pPr>
              <w:spacing w:after="0" w:before="0" w:line="240" w:lineRule="auto"/>
            </w:pPr>
            <w:r>
              <w:t>Judge: Jamie Anderson</w:t>
            </w:r>
          </w:p>
        </w:tc>
      </w:tr>
    </w:tbl>
    <w:p>
      <w:pPr>
        <w:spacing w:after="0" w:before="0" w:line="240" w:lineRule="auto"/>
      </w:pPr>
    </w:p>
    <w:p>
      <w:pPr>
        <w:spacing w:after="0" w:before="0" w:line="240" w:lineRule="auto"/>
        <w:jc w:val="center"/>
      </w:pPr>
      <w:r>
        <w:rPr>
          <w:b/>
          <w:i w:val="0"/>
        </w:rPr>
        <w:t>AFFIDAVIT OF YIBIAO LU IN SUPPORT OF PLAINTIFFS’ REQUEST TO</w:t>
      </w:r>
    </w:p>
    <w:p>
      <w:pPr>
        <w:spacing w:after="120" w:before="0" w:line="240" w:lineRule="auto"/>
        <w:jc w:val="center"/>
      </w:pPr>
      <w:r>
        <w:rPr>
          <w:b/>
          <w:i w:val="0"/>
        </w:rPr>
        <w:t>DEFER OR DENY SUMMARY JUDGMENT UNDER MINN. R. CIV. P. 56.04</w:t>
      </w:r>
    </w:p>
    <w:p>
      <w:pPr>
        <w:spacing w:after="160" w:before="0" w:line="240" w:lineRule="auto"/>
      </w:pPr>
      <w:r>
        <w:rPr>
          <w:i/>
        </w:rPr>
        <w:t>[ File this affidavit with a short responsive memorandum (or as part of the opposition) if FIE moves for summary judgment before Plaintiffs have completed the discovery needed to oppose it. Fill each bracket from the record. ]</w:t>
      </w:r>
    </w:p>
    <w:p>
      <w:pPr>
        <w:spacing w:after="0" w:before="0" w:line="240" w:lineRule="auto"/>
      </w:pPr>
      <w:r>
        <w:rPr>
          <w:b w:val="0"/>
          <w:i w:val="0"/>
        </w:rPr>
        <w:t>STATE OF MINNESOTA  )</w:t>
      </w:r>
    </w:p>
    <w:p>
      <w:pPr>
        <w:spacing w:after="0" w:before="0" w:line="240" w:lineRule="auto"/>
      </w:pPr>
      <w:r>
        <w:rPr>
          <w:b w:val="0"/>
          <w:i w:val="0"/>
        </w:rPr>
        <w:t xml:space="preserve">                                     ) ss.</w:t>
      </w:r>
    </w:p>
    <w:p>
      <w:pPr>
        <w:spacing w:after="120" w:before="0" w:line="240" w:lineRule="auto"/>
      </w:pPr>
      <w:r>
        <w:rPr>
          <w:b w:val="0"/>
          <w:i w:val="0"/>
        </w:rPr>
        <w:t>COUNTY OF HENNEPIN )</w:t>
      </w:r>
    </w:p>
    <w:p>
      <w:pPr>
        <w:spacing w:after="160" w:before="0" w:line="240" w:lineRule="auto"/>
      </w:pPr>
      <w:r>
        <w:rPr>
          <w:b w:val="0"/>
          <w:i w:val="0"/>
        </w:rPr>
        <w:t>Yibiao Lu, being first duly sworn, states as follows:</w:t>
      </w:r>
    </w:p>
    <w:p>
      <w:pPr>
        <w:spacing w:after="120" w:before="0" w:line="240" w:lineRule="auto"/>
        <w:ind w:left="360"/>
      </w:pPr>
      <w:r>
        <w:rPr>
          <w:b/>
        </w:rPr>
        <w:t xml:space="preserve">1.  </w:t>
      </w:r>
      <w:r>
        <w:t>I am a Plaintiff in this action and a named insured under Policy 98055-49-65. I make this affidavit on personal knowledge in support of Plaintiffs’ request, under Minn. R. Civ. P. 56.04, that the Court defer consideration of, or deny, Defendant’s motion for summary judgment to allow Plaintiffs to complete discovery.</w:t>
      </w:r>
    </w:p>
    <w:p>
      <w:pPr>
        <w:spacing w:after="120" w:before="0" w:line="240" w:lineRule="auto"/>
        <w:ind w:left="360"/>
      </w:pPr>
      <w:r>
        <w:rPr>
          <w:b/>
        </w:rPr>
        <w:t xml:space="preserve">2.  </w:t>
      </w:r>
      <w:r>
        <w:t>Defendant served its motion for summary judgment on ______________, 202__, set for hearing on ______________, 202__.</w:t>
      </w:r>
      <w:r>
        <w:rPr>
          <w:i/>
        </w:rPr>
        <w:t xml:space="preserve">  [fill dates]</w:t>
      </w:r>
    </w:p>
    <w:p>
      <w:pPr>
        <w:spacing w:after="120" w:before="0" w:line="240" w:lineRule="auto"/>
        <w:ind w:left="360"/>
      </w:pPr>
      <w:r>
        <w:rPr>
          <w:b/>
        </w:rPr>
        <w:t xml:space="preserve">3.  </w:t>
      </w:r>
      <w:r>
        <w:t>For the reasons below, Plaintiffs cannot yet present facts essential to justify their opposition to the motion. The following essential facts are not yet available to Plaintiffs:</w:t>
      </w:r>
    </w:p>
    <w:p>
      <w:pPr>
        <w:spacing w:after="80" w:before="0" w:line="240" w:lineRule="auto"/>
        <w:ind w:left="720" w:hanging="360"/>
      </w:pPr>
      <w:r>
        <w:t xml:space="preserve">•  </w:t>
      </w:r>
      <w:r>
        <w:rPr>
          <w:i w:val="0"/>
        </w:rPr>
        <w:t>which specific windows and components the appraisal panel actually evaluated — the subject of Plaintiffs’ Interrogatory Nos. 3-6 and 17, to which Defendant has [not responded / not adequately responded];</w:t>
      </w:r>
    </w:p>
    <w:p>
      <w:pPr>
        <w:spacing w:after="80" w:before="0" w:line="240" w:lineRule="auto"/>
        <w:ind w:left="720" w:hanging="360"/>
      </w:pPr>
      <w:r>
        <w:t xml:space="preserve">•  </w:t>
      </w:r>
      <w:r>
        <w:rPr>
          <w:i w:val="0"/>
        </w:rPr>
        <w:t>the complete Prieve Engineering native file and original photographs (Requests for Production Nos. 5-6), which Plaintiffs’ engineering expert requires to analyze causation and the scope of hail damage;</w:t>
      </w:r>
    </w:p>
    <w:p>
      <w:pPr>
        <w:spacing w:after="80" w:before="0" w:line="240" w:lineRule="auto"/>
        <w:ind w:left="720" w:hanging="360"/>
      </w:pPr>
      <w:r>
        <w:t xml:space="preserve">•  </w:t>
      </w:r>
      <w:r>
        <w:rPr>
          <w:i w:val="0"/>
        </w:rPr>
        <w:t>Defendant’s 2020 claim file and Xactimate line items (Requests for Production Nos. 2 and 23), which bear on Defendant’s "prior payment" theory;</w:t>
      </w:r>
    </w:p>
    <w:p>
      <w:pPr>
        <w:spacing w:after="80" w:before="0" w:line="240" w:lineRule="auto"/>
        <w:ind w:left="720" w:hanging="360"/>
      </w:pPr>
      <w:r>
        <w:t xml:space="preserve">•  </w:t>
      </w:r>
      <w:r>
        <w:rPr>
          <w:i w:val="0"/>
        </w:rPr>
        <w:t>the records of adjuster Nicholas Brau’s September 6, 2024 inspection (Request for Production No. 3);</w:t>
      </w:r>
    </w:p>
    <w:p>
      <w:pPr>
        <w:spacing w:after="80" w:before="0" w:line="240" w:lineRule="auto"/>
        <w:ind w:left="720" w:hanging="360"/>
      </w:pPr>
      <w:r>
        <w:t xml:space="preserve">•  </w:t>
      </w:r>
      <w:r>
        <w:rPr>
          <w:i w:val="0"/>
        </w:rPr>
        <w:t>the deposition testimony of Nicholas Brau, Bradlee Monson, and the Prieve engineer, which Plaintiffs have not yet been able to take; and</w:t>
      </w:r>
    </w:p>
    <w:p>
      <w:pPr>
        <w:spacing w:after="80" w:before="0" w:line="240" w:lineRule="auto"/>
        <w:ind w:left="720" w:hanging="360"/>
      </w:pPr>
      <w:r>
        <w:t xml:space="preserve">•  </w:t>
      </w:r>
      <w:r>
        <w:rPr>
          <w:i w:val="0"/>
        </w:rPr>
        <w:t>the opinions of Plaintiffs’ retained engineering expert, whose analysis depends on the discovery above and whose disclosures are not due until ______________, 202__ under the scheduling order.</w:t>
      </w:r>
    </w:p>
    <w:p>
      <w:pPr>
        <w:spacing w:after="120" w:before="0" w:line="240" w:lineRule="auto"/>
        <w:ind w:left="360"/>
      </w:pPr>
      <w:r>
        <w:rPr>
          <w:b/>
        </w:rPr>
        <w:t xml:space="preserve">4.  </w:t>
      </w:r>
      <w:r>
        <w:t>These facts are essential because they go to the central genuine issues of material fact on which the motion turns: the scope of the September 12, 2025 appraisal (which windows and components the panel evaluated) and whether the covered hail loss exceeds the Policy’s $17,720 deductible.</w:t>
      </w:r>
    </w:p>
    <w:p>
      <w:pPr>
        <w:spacing w:after="120" w:before="0" w:line="240" w:lineRule="auto"/>
        <w:ind w:left="360"/>
      </w:pPr>
      <w:r>
        <w:rPr>
          <w:b/>
        </w:rPr>
        <w:t xml:space="preserve">5.  </w:t>
      </w:r>
      <w:r>
        <w:t>Plaintiffs have diligently pursued discovery. Plaintiffs served their First Set of Interrogatories, Requests for Production, and Requests for Admission on ______________, 202__. Fact discovery does not close until ______________, 202__ under the Court’s scheduling order, and expert discovery is scheduled to follow.</w:t>
      </w:r>
      <w:r>
        <w:rPr>
          <w:i/>
        </w:rPr>
        <w:t xml:space="preserve">  [fill dates]</w:t>
      </w:r>
    </w:p>
    <w:p>
      <w:pPr>
        <w:spacing w:after="120" w:before="0" w:line="240" w:lineRule="auto"/>
        <w:ind w:left="360"/>
      </w:pPr>
      <w:r>
        <w:rPr>
          <w:b/>
        </w:rPr>
        <w:t xml:space="preserve">6.  </w:t>
      </w:r>
      <w:r>
        <w:t>Plaintiffs cannot present these facts now because Defendant’s discovery responses are [outstanding / incomplete], the depositions have not yet occurred, and expert disclosures are not yet due. The information needed to oppose the motion is in Defendant’s possession, custody, or control, or depends on discovery not yet completed.</w:t>
      </w:r>
    </w:p>
    <w:p>
      <w:pPr>
        <w:spacing w:after="120" w:before="0" w:line="240" w:lineRule="auto"/>
        <w:ind w:left="360"/>
      </w:pPr>
      <w:r>
        <w:rPr>
          <w:b/>
        </w:rPr>
        <w:t xml:space="preserve">7.  </w:t>
      </w:r>
      <w:r>
        <w:t>For these reasons, Plaintiffs respectfully request that the Court, under Minn. R. Civ. P. 56.04, defer considering Defendant’s motion or deny it, and allow Plaintiffs time to complete discovery and obtain affidavits, or issue any other appropriate order.</w:t>
      </w:r>
    </w:p>
    <w:p>
      <w:pPr>
        <w:spacing w:after="0" w:before="0" w:line="240" w:lineRule="auto"/>
      </w:pPr>
    </w:p>
    <w:p>
      <w:pPr>
        <w:spacing w:after="0" w:before="0" w:line="240" w:lineRule="auto"/>
      </w:pPr>
      <w:r>
        <w:rPr>
          <w:b w:val="0"/>
          <w:i w:val="0"/>
        </w:rPr>
        <w:t>______________________________</w:t>
      </w:r>
    </w:p>
    <w:p>
      <w:pPr>
        <w:spacing w:after="0" w:before="0" w:line="240" w:lineRule="auto"/>
      </w:pPr>
      <w:r>
        <w:rPr>
          <w:b w:val="0"/>
          <w:i w:val="0"/>
        </w:rPr>
        <w:t>Yibiao Lu</w:t>
      </w:r>
    </w:p>
    <w:p>
      <w:pPr>
        <w:spacing w:after="0" w:before="0" w:line="240" w:lineRule="auto"/>
      </w:pPr>
    </w:p>
    <w:p>
      <w:pPr>
        <w:spacing w:after="0" w:before="0" w:line="240" w:lineRule="auto"/>
      </w:pPr>
      <w:r>
        <w:rPr>
          <w:b w:val="0"/>
          <w:i w:val="0"/>
        </w:rPr>
        <w:t>Subscribed and sworn to before me this ______ day of ______________, 202__.</w:t>
      </w:r>
    </w:p>
    <w:p>
      <w:pPr>
        <w:spacing w:after="0" w:before="0" w:line="240" w:lineRule="auto"/>
      </w:pPr>
    </w:p>
    <w:p>
      <w:pPr>
        <w:spacing w:after="0" w:before="0" w:line="240" w:lineRule="auto"/>
      </w:pPr>
      <w:r>
        <w:rPr>
          <w:b w:val="0"/>
          <w:i w:val="0"/>
        </w:rPr>
        <w:t>______________________________</w:t>
      </w:r>
    </w:p>
    <w:p>
      <w:pPr>
        <w:spacing w:after="0" w:before="0" w:line="240" w:lineRule="auto"/>
      </w:pPr>
      <w:r>
        <w:rPr>
          <w:b w:val="0"/>
          <w:i w:val="0"/>
        </w:rPr>
        <w:t>Notary Public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