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b/>
          <w:i w:val="0"/>
        </w:rPr>
        <w:t>FACT-DISCOVERY SEQUENCING &amp; TIMELINE PLAN — WORST-CASE</w:t>
      </w:r>
    </w:p>
    <w:p>
      <w:pPr>
        <w:spacing w:after="120" w:before="0" w:line="240" w:lineRule="auto"/>
        <w:jc w:val="center"/>
      </w:pPr>
      <w:r>
        <w:rPr>
          <w:b w:val="0"/>
          <w:i w:val="0"/>
        </w:rPr>
        <w:t>Lu and Hu v. Fire Insurance Exchange — No. 27-CV-26-11606</w:t>
      </w:r>
    </w:p>
    <w:p>
      <w:pPr>
        <w:spacing w:after="200" w:before="0" w:line="240" w:lineRule="auto"/>
      </w:pPr>
      <w:r>
        <w:rPr>
          <w:b/>
          <w:i/>
        </w:rPr>
        <w:t xml:space="preserve">Not legal advice. </w:t>
      </w:r>
      <w:r>
        <w:rPr>
          <w:b w:val="0"/>
          <w:i/>
        </w:rPr>
        <w:t xml:space="preserve">A planning tool for a pro se plaintiff. This revision assumes the contested (worst-case) path — FIE takes extensions, produces deficiently, and forces multiple Rule 37 motions — so the first fact deposition lands about six months after Tranche A is served. It is aligned to the family's </w:t>
      </w:r>
      <w:r>
        <w:rPr>
          <w:b w:val="0"/>
          <w:i/>
        </w:rPr>
        <w:t>OffenseStrategies/Discovery/DiscoveryPlan.md</w:t>
      </w:r>
      <w:r>
        <w:rPr>
          <w:b w:val="0"/>
          <w:i/>
        </w:rPr>
        <w:t xml:space="preserve"> (Tranche A/B/C structure, deposition order, and Rule 37 calendar). Calendar months are approximate; the Court's scheduling order controls.</w:t>
      </w:r>
    </w:p>
    <w:p>
      <w:pPr>
        <w:spacing w:after="80" w:before="0" w:line="240" w:lineRule="auto"/>
      </w:pPr>
      <w:r>
        <w:rPr>
          <w:b/>
          <w:i w:val="0"/>
        </w:rPr>
        <w:t>The governing principle: documents before depositions</w:t>
      </w:r>
    </w:p>
    <w:p>
      <w:pPr>
        <w:spacing w:after="160" w:before="0" w:line="240" w:lineRule="auto"/>
      </w:pPr>
      <w:r>
        <w:rPr>
          <w:b/>
          <w:i w:val="0"/>
        </w:rPr>
        <w:t xml:space="preserve">Do not take the first fact deposition until the documents are in and organized. </w:t>
      </w:r>
      <w:r>
        <w:rPr>
          <w:b w:val="0"/>
          <w:i w:val="0"/>
        </w:rPr>
        <w:t>Each deponent gets one day of 7 hours (Rule 30.04(b)); you want the claim file, adjuster notes, the 2020 file, the audit trail, and Prieve's native file in hand so you can confront the witness with paper. In the worst case, getting those documents requires two-plus tranches of written discovery and several motions to compel — which is what pushes the first deposition out to ~month 6.</w:t>
      </w:r>
    </w:p>
    <w:p>
      <w:pPr>
        <w:spacing w:after="80" w:before="0" w:line="240" w:lineRule="auto"/>
      </w:pPr>
      <w:r>
        <w:rPr>
          <w:b/>
          <w:i w:val="0"/>
        </w:rPr>
        <w:t>A.  What makes it the worst case (six months to first deposition)</w:t>
      </w:r>
    </w:p>
    <w:p>
      <w:pPr>
        <w:spacing w:after="80" w:before="0" w:line="240" w:lineRule="auto"/>
        <w:ind w:left="1080" w:hanging="360"/>
      </w:pPr>
      <w:r>
        <w:t xml:space="preserve">•  </w:t>
      </w:r>
      <w:r>
        <w:rPr>
          <w:b/>
        </w:rPr>
        <w:t xml:space="preserve">Extensions. </w:t>
      </w:r>
      <w:r>
        <w:t>FIE takes an agreed extension on Tranche A responses, pushing production from ~day 30 to ~month 2.</w:t>
      </w:r>
    </w:p>
    <w:p>
      <w:pPr>
        <w:spacing w:after="80" w:before="0" w:line="240" w:lineRule="auto"/>
        <w:ind w:left="1080" w:hanging="360"/>
      </w:pPr>
      <w:r>
        <w:t xml:space="preserve">•  </w:t>
      </w:r>
      <w:r>
        <w:rPr>
          <w:b/>
        </w:rPr>
        <w:t xml:space="preserve">Deficient production → three Rule 37 cycles. </w:t>
      </w:r>
      <w:r>
        <w:t>Initial gaps, the missing Brau notes, and the pattern-of-practice/vendor requests each require a separate motion to compel (each ~6–10 weeks: meet-and-confer → file ≥21 days pre-hearing → hearing → order → compliance).</w:t>
      </w:r>
    </w:p>
    <w:p>
      <w:pPr>
        <w:spacing w:after="80" w:before="0" w:line="240" w:lineRule="auto"/>
        <w:ind w:left="1080" w:hanging="360"/>
      </w:pPr>
      <w:r>
        <w:t xml:space="preserve">•  </w:t>
      </w:r>
      <w:r>
        <w:rPr>
          <w:b/>
        </w:rPr>
        <w:t xml:space="preserve">Privilege-log fights and rolling production. </w:t>
      </w:r>
      <w:r>
        <w:t>Each production installment surfaces new documents, requiring targeted follow-up before witnesses can be confronted.</w:t>
      </w:r>
    </w:p>
    <w:p>
      <w:pPr>
        <w:spacing w:after="80" w:before="0" w:line="240" w:lineRule="auto"/>
        <w:ind w:left="1080" w:hanging="360"/>
      </w:pPr>
      <w:r>
        <w:t xml:space="preserve">•  </w:t>
      </w:r>
      <w:r>
        <w:rPr>
          <w:b/>
        </w:rPr>
        <w:t xml:space="preserve">Subpoena resistance. </w:t>
      </w:r>
      <w:r>
        <w:t>Prieve may object to the Rule 45 subpoena (14-day window), adding a meet-and-confer/motion step before the native file arrives.</w:t>
      </w:r>
    </w:p>
    <w:p>
      <w:pPr>
        <w:spacing w:after="80" w:before="0" w:line="240" w:lineRule="auto"/>
      </w:pPr>
      <w:r>
        <w:rPr>
          <w:b/>
          <w:i w:val="0"/>
        </w:rPr>
        <w:t>B.  Tranche structure (aligned with the family's plan)</w:t>
      </w:r>
    </w:p>
    <w:p>
      <w:pPr>
        <w:spacing w:after="80" w:before="0" w:line="240" w:lineRule="auto"/>
      </w:pPr>
      <w:r>
        <w:rPr>
          <w:b w:val="0"/>
          <w:i w:val="0"/>
        </w:rPr>
        <w:t>Written discovery goes out in tranches, not a single set. Requests for production and admission are unlimited in number and in the number of tranches; interrogatories are capped at 50 cumulatively (subparts count), so budget them across tranches. Expect three tranches, and know a fourth targeted RFP set is permitted if the record requires it:</w:t>
      </w:r>
    </w:p>
    <w:p>
      <w:pPr>
        <w:spacing w:after="80" w:before="0" w:line="240" w:lineRule="auto"/>
        <w:ind w:left="1080" w:hanging="360"/>
      </w:pPr>
      <w:r>
        <w:t xml:space="preserve">•  </w:t>
      </w:r>
      <w:r>
        <w:rPr>
          <w:b/>
        </w:rPr>
        <w:t xml:space="preserve">Tranche A (foundational) — served at T0. </w:t>
      </w:r>
      <w:r>
        <w:t>The First Sets already drafted: claim file, policies, the 2020 file, the Prieve/Hancock files, internal claims-handling communications, the audit trail. Interrogatories used: 17 of 50.</w:t>
      </w:r>
    </w:p>
    <w:p>
      <w:pPr>
        <w:spacing w:after="80" w:before="0" w:line="240" w:lineRule="auto"/>
        <w:ind w:left="1080" w:hanging="360"/>
      </w:pPr>
      <w:r>
        <w:t xml:space="preserve">•  </w:t>
      </w:r>
      <w:r>
        <w:rPr>
          <w:b/>
        </w:rPr>
        <w:t xml:space="preserve">Tranche B (targeted follow-up) — ~month 3.5. </w:t>
      </w:r>
      <w:r>
        <w:t>Drills into what Tranche A revealed — specific claim-note entries, specific 2020 Xactimate line items, named individuals — plus a Rule 30.02(f) institutional-deposition notice.</w:t>
      </w:r>
    </w:p>
    <w:p>
      <w:pPr>
        <w:spacing w:after="80" w:before="0" w:line="240" w:lineRule="auto"/>
        <w:ind w:left="1080" w:hanging="360"/>
      </w:pPr>
      <w:r>
        <w:t xml:space="preserve">•  </w:t>
      </w:r>
      <w:r>
        <w:rPr>
          <w:b/>
        </w:rPr>
        <w:t xml:space="preserve">Tranche C (trial-prep / spoliation-probing) — ~month 7. </w:t>
      </w:r>
      <w:r>
        <w:t>Cleans up gaps, probes the missing-records/spoliation record, and locks in admissions (RFAs) around the deposition testimony.</w:t>
      </w:r>
    </w:p>
    <w:p>
      <w:pPr>
        <w:spacing w:after="160" w:before="40" w:line="240" w:lineRule="auto"/>
      </w:pPr>
      <w:r>
        <w:rPr>
          <w:b/>
          <w:i w:val="0"/>
        </w:rPr>
        <w:t xml:space="preserve">Interrogatory budget: </w:t>
      </w:r>
      <w:r>
        <w:rPr>
          <w:b w:val="0"/>
          <w:i w:val="0"/>
        </w:rPr>
        <w:t>~33 of the 50 remain after Tranche A — enough for Tranches B–C if used sparingly.</w:t>
      </w:r>
    </w:p>
    <w:p>
      <w:pPr>
        <w:spacing w:after="80" w:before="0" w:line="240" w:lineRule="auto"/>
      </w:pPr>
      <w:r>
        <w:rPr>
          <w:b/>
          <w:i w:val="0"/>
        </w:rPr>
        <w:t>C.  Worst-case month-by-month timeline</w:t>
      </w:r>
    </w:p>
    <w:p>
      <w:pPr>
        <w:spacing w:after="120" w:before="0" w:line="240" w:lineRule="auto"/>
      </w:pPr>
      <w:r>
        <w:rPr>
          <w:b w:val="0"/>
          <w:i w:val="0"/>
        </w:rPr>
        <w:t>Anchored to T0 = Tranche A served promptly after the Rule 26.06 conference (about September 2026). Month labels are approximate calendar; they track the family’s master timeline.</w:t>
      </w:r>
    </w:p>
    <w:tbl>
      <w:tblPr>
        <w:tblStyle w:val="TableGrid"/>
        <w:tblW w:type="auto" w:w="0"/>
        <w:jc w:val="center"/>
        <w:tblLook w:firstColumn="1" w:firstRow="1" w:lastColumn="0" w:lastRow="0" w:noHBand="0" w:noVBand="1" w:val="04A0"/>
      </w:tblPr>
      <w:tblGrid>
        <w:gridCol w:w="3120"/>
        <w:gridCol w:w="3120"/>
        <w:gridCol w:w="3120"/>
      </w:tblGrid>
      <w:tr>
        <w:tc>
          <w:tcPr>
            <w:tcW w:type="dxa" w:w="1900"/>
          </w:tcPr>
          <w:p>
            <w:pPr>
              <w:spacing w:after="0" w:before="0" w:line="240" w:lineRule="auto"/>
            </w:pPr>
            <w:r>
              <w:rPr>
                <w:b/>
              </w:rPr>
              <w:t>Month (≈ calendar)</w:t>
            </w:r>
          </w:p>
        </w:tc>
        <w:tc>
          <w:tcPr>
            <w:tcW w:type="dxa" w:w="5060"/>
          </w:tcPr>
          <w:p>
            <w:pPr>
              <w:spacing w:after="0" w:before="0" w:line="240" w:lineRule="auto"/>
            </w:pPr>
            <w:r>
              <w:rPr>
                <w:b/>
              </w:rPr>
              <w:t>Step</w:t>
            </w:r>
          </w:p>
        </w:tc>
        <w:tc>
          <w:tcPr>
            <w:tcW w:type="dxa" w:w="2400"/>
          </w:tcPr>
          <w:p>
            <w:pPr>
              <w:spacing w:after="0" w:before="0" w:line="240" w:lineRule="auto"/>
            </w:pPr>
            <w:r>
              <w:rPr>
                <w:b/>
              </w:rPr>
              <w:t>Governing clock / note</w:t>
            </w:r>
          </w:p>
        </w:tc>
      </w:tr>
      <w:tr>
        <w:tc>
          <w:tcPr>
            <w:tcW w:type="dxa" w:w="1900"/>
          </w:tcPr>
          <w:p>
            <w:pPr>
              <w:spacing w:after="0" w:before="0" w:line="240" w:lineRule="auto"/>
            </w:pPr>
            <w:r>
              <w:rPr>
                <w:b/>
              </w:rPr>
              <w:t>T0 (≈ Sep 2026)</w:t>
            </w:r>
            <w:r/>
          </w:p>
        </w:tc>
        <w:tc>
          <w:tcPr>
            <w:tcW w:type="dxa" w:w="5060"/>
          </w:tcPr>
          <w:p>
            <w:pPr>
              <w:spacing w:after="0" w:before="0" w:line="240" w:lineRule="auto"/>
            </w:pPr>
            <w:r>
              <w:t>Serve Tranche A (RFPs, Interrogatories, RFAs). Serve 7-day notice, then issue Rule 45 subpoenas to Prieve and Hancock. Exchange initial disclosures.</w:t>
            </w:r>
          </w:p>
        </w:tc>
        <w:tc>
          <w:tcPr>
            <w:tcW w:type="dxa" w:w="2400"/>
          </w:tcPr>
          <w:p>
            <w:pPr>
              <w:spacing w:after="0" w:before="0" w:line="240" w:lineRule="auto"/>
            </w:pPr>
            <w:r>
              <w:t>Rules 33/34/36; 45.02(a); 26.01(a)</w:t>
            </w:r>
          </w:p>
        </w:tc>
      </w:tr>
      <w:tr>
        <w:tc>
          <w:tcPr>
            <w:tcW w:type="dxa" w:w="1900"/>
          </w:tcPr>
          <w:p>
            <w:pPr>
              <w:spacing w:after="0" w:before="0" w:line="240" w:lineRule="auto"/>
            </w:pPr>
            <w:r>
              <w:rPr>
                <w:b/>
              </w:rPr>
              <w:t>Month 1 (≈ Oct)</w:t>
            </w:r>
            <w:r/>
          </w:p>
        </w:tc>
        <w:tc>
          <w:tcPr>
            <w:tcW w:type="dxa" w:w="5060"/>
          </w:tcPr>
          <w:p>
            <w:pPr>
              <w:spacing w:after="0" w:before="0" w:line="240" w:lineRule="auto"/>
            </w:pPr>
            <w:r>
              <w:t>Tranche A responses nominally due at day 30 — but FIE takes an agreed extension.</w:t>
            </w:r>
          </w:p>
        </w:tc>
        <w:tc>
          <w:tcPr>
            <w:tcW w:type="dxa" w:w="2400"/>
          </w:tcPr>
          <w:p>
            <w:pPr>
              <w:spacing w:after="0" w:before="0" w:line="240" w:lineRule="auto"/>
            </w:pPr>
            <w:r>
              <w:t>30 days (+3 if by mail)</w:t>
            </w:r>
          </w:p>
        </w:tc>
      </w:tr>
      <w:tr>
        <w:tc>
          <w:tcPr>
            <w:tcW w:type="dxa" w:w="1900"/>
          </w:tcPr>
          <w:p>
            <w:pPr>
              <w:spacing w:after="0" w:before="0" w:line="240" w:lineRule="auto"/>
            </w:pPr>
            <w:r>
              <w:rPr>
                <w:b/>
              </w:rPr>
              <w:t>Month 2 (≈ Nov)</w:t>
            </w:r>
            <w:r/>
          </w:p>
        </w:tc>
        <w:tc>
          <w:tcPr>
            <w:tcW w:type="dxa" w:w="5060"/>
          </w:tcPr>
          <w:p>
            <w:pPr>
              <w:spacing w:after="0" w:before="0" w:line="240" w:lineRule="auto"/>
            </w:pPr>
            <w:r>
              <w:t>Extended Tranche A production; review for gaps, objections, privilege-log adequacy, and "does not exist" items; meet-and-confer begins.</w:t>
            </w:r>
          </w:p>
        </w:tc>
        <w:tc>
          <w:tcPr>
            <w:tcW w:type="dxa" w:w="2400"/>
          </w:tcPr>
          <w:p>
            <w:pPr>
              <w:spacing w:after="0" w:before="0" w:line="240" w:lineRule="auto"/>
            </w:pPr>
            <w:r>
              <w:t>Rule 37.01 / 115.10</w:t>
            </w:r>
          </w:p>
        </w:tc>
      </w:tr>
      <w:tr>
        <w:tc>
          <w:tcPr>
            <w:tcW w:type="dxa" w:w="1900"/>
          </w:tcPr>
          <w:p>
            <w:pPr>
              <w:spacing w:after="0" w:before="0" w:line="240" w:lineRule="auto"/>
            </w:pPr>
            <w:r>
              <w:rPr>
                <w:b/>
              </w:rPr>
              <w:t>Month 3 (≈ Dec)</w:t>
            </w:r>
            <w:r/>
          </w:p>
        </w:tc>
        <w:tc>
          <w:tcPr>
            <w:tcW w:type="dxa" w:w="5060"/>
          </w:tcPr>
          <w:p>
            <w:pPr>
              <w:spacing w:after="0" w:before="0" w:line="240" w:lineRule="auto"/>
            </w:pPr>
            <w:r>
              <w:t>Rule 37 Motion #1 — compel initial production gaps (multi-target). Subpoena returns begin.</w:t>
            </w:r>
          </w:p>
        </w:tc>
        <w:tc>
          <w:tcPr>
            <w:tcW w:type="dxa" w:w="2400"/>
          </w:tcPr>
          <w:p>
            <w:pPr>
              <w:spacing w:after="0" w:before="0" w:line="240" w:lineRule="auto"/>
            </w:pPr>
            <w:r>
              <w:t>Gen.R.Prac.115.04 (21/14/7)</w:t>
            </w:r>
          </w:p>
        </w:tc>
      </w:tr>
      <w:tr>
        <w:tc>
          <w:tcPr>
            <w:tcW w:type="dxa" w:w="1900"/>
          </w:tcPr>
          <w:p>
            <w:pPr>
              <w:spacing w:after="0" w:before="0" w:line="240" w:lineRule="auto"/>
            </w:pPr>
            <w:r>
              <w:rPr>
                <w:b/>
              </w:rPr>
              <w:t>Month 3.5 (≈ Dec–Jan)</w:t>
            </w:r>
            <w:r/>
          </w:p>
        </w:tc>
        <w:tc>
          <w:tcPr>
            <w:tcW w:type="dxa" w:w="5060"/>
          </w:tcPr>
          <w:p>
            <w:pPr>
              <w:spacing w:after="0" w:before="0" w:line="240" w:lineRule="auto"/>
            </w:pPr>
            <w:r>
              <w:t>Serve Tranche B (targeted) + serve the Rule 30.02(f) institutional-deposition notice.</w:t>
            </w:r>
          </w:p>
        </w:tc>
        <w:tc>
          <w:tcPr>
            <w:tcW w:type="dxa" w:w="2400"/>
          </w:tcPr>
          <w:p>
            <w:pPr>
              <w:spacing w:after="0" w:before="0" w:line="240" w:lineRule="auto"/>
            </w:pPr>
            <w:r>
              <w:t>30-day clock restarts</w:t>
            </w:r>
          </w:p>
        </w:tc>
      </w:tr>
      <w:tr>
        <w:tc>
          <w:tcPr>
            <w:tcW w:type="dxa" w:w="1900"/>
          </w:tcPr>
          <w:p>
            <w:pPr>
              <w:spacing w:after="0" w:before="0" w:line="240" w:lineRule="auto"/>
            </w:pPr>
            <w:r>
              <w:rPr>
                <w:b/>
              </w:rPr>
              <w:t>Month 4 (≈ Jan 2027)</w:t>
            </w:r>
            <w:r/>
          </w:p>
        </w:tc>
        <w:tc>
          <w:tcPr>
            <w:tcW w:type="dxa" w:w="5060"/>
          </w:tcPr>
          <w:p>
            <w:pPr>
              <w:spacing w:after="0" w:before="0" w:line="240" w:lineRule="auto"/>
            </w:pPr>
            <w:r>
              <w:t>Tranche B responses due; further meet-and-confer.</w:t>
            </w:r>
          </w:p>
        </w:tc>
        <w:tc>
          <w:tcPr>
            <w:tcW w:type="dxa" w:w="2400"/>
          </w:tcPr>
          <w:p>
            <w:pPr>
              <w:spacing w:after="0" w:before="0" w:line="240" w:lineRule="auto"/>
            </w:pPr>
            <w:r>
              <w:t>Rules 33.02/34.02/36.02</w:t>
            </w:r>
          </w:p>
        </w:tc>
      </w:tr>
      <w:tr>
        <w:tc>
          <w:tcPr>
            <w:tcW w:type="dxa" w:w="1900"/>
          </w:tcPr>
          <w:p>
            <w:pPr>
              <w:spacing w:after="0" w:before="0" w:line="240" w:lineRule="auto"/>
            </w:pPr>
            <w:r>
              <w:rPr>
                <w:b/>
              </w:rPr>
              <w:t>Month 5 (≈ Feb)</w:t>
            </w:r>
            <w:r/>
          </w:p>
        </w:tc>
        <w:tc>
          <w:tcPr>
            <w:tcW w:type="dxa" w:w="5060"/>
          </w:tcPr>
          <w:p>
            <w:pPr>
              <w:spacing w:after="0" w:before="0" w:line="240" w:lineRule="auto"/>
            </w:pPr>
            <w:r>
              <w:t>Rule 37 Motion #2 — the Brau-notes track. Compliance from Motion #1 produces documents.</w:t>
            </w:r>
          </w:p>
        </w:tc>
        <w:tc>
          <w:tcPr>
            <w:tcW w:type="dxa" w:w="2400"/>
          </w:tcPr>
          <w:p>
            <w:pPr>
              <w:spacing w:after="0" w:before="0" w:line="240" w:lineRule="auto"/>
            </w:pPr>
            <w:r>
              <w:t>Gen.R.Prac.115.04</w:t>
            </w:r>
          </w:p>
        </w:tc>
      </w:tr>
      <w:tr>
        <w:tc>
          <w:tcPr>
            <w:tcW w:type="dxa" w:w="1900"/>
          </w:tcPr>
          <w:p>
            <w:pPr>
              <w:spacing w:after="0" w:before="0" w:line="240" w:lineRule="auto"/>
            </w:pPr>
            <w:r>
              <w:rPr>
                <w:b/>
              </w:rPr>
              <w:t>Month 6 (≈ Mar)</w:t>
            </w:r>
            <w:r/>
          </w:p>
        </w:tc>
        <w:tc>
          <w:tcPr>
            <w:tcW w:type="dxa" w:w="5060"/>
          </w:tcPr>
          <w:p>
            <w:pPr>
              <w:spacing w:after="0" w:before="0" w:line="240" w:lineRule="auto"/>
            </w:pPr>
            <w:r>
              <w:t>FIRST INDIVIDUAL DEPOSITIONS: Brau, then Monson. Rule 37 Motion #3 (pattern-of-practice) filed.</w:t>
            </w:r>
          </w:p>
        </w:tc>
        <w:tc>
          <w:tcPr>
            <w:tcW w:type="dxa" w:w="2400"/>
          </w:tcPr>
          <w:p>
            <w:pPr>
              <w:spacing w:after="0" w:before="0" w:line="240" w:lineRule="auto"/>
            </w:pPr>
            <w:r>
              <w:t>Rule 30.02 (reasonable notice)</w:t>
            </w:r>
          </w:p>
        </w:tc>
      </w:tr>
      <w:tr>
        <w:tc>
          <w:tcPr>
            <w:tcW w:type="dxa" w:w="1900"/>
          </w:tcPr>
          <w:p>
            <w:pPr>
              <w:spacing w:after="0" w:before="0" w:line="240" w:lineRule="auto"/>
            </w:pPr>
            <w:r>
              <w:rPr>
                <w:b/>
              </w:rPr>
              <w:t>Month 7 (≈ Apr)</w:t>
            </w:r>
            <w:r/>
          </w:p>
        </w:tc>
        <w:tc>
          <w:tcPr>
            <w:tcW w:type="dxa" w:w="5060"/>
          </w:tcPr>
          <w:p>
            <w:pPr>
              <w:spacing w:after="0" w:before="0" w:line="240" w:lineRule="auto"/>
            </w:pPr>
            <w:r>
              <w:t>Depositions: Dudley, Pietila, Tomes. Serve Tranche C. Privilege-log motion (in-camera).</w:t>
            </w:r>
          </w:p>
        </w:tc>
        <w:tc>
          <w:tcPr>
            <w:tcW w:type="dxa" w:w="2400"/>
          </w:tcPr>
          <w:p>
            <w:pPr>
              <w:spacing w:after="0" w:before="0" w:line="240" w:lineRule="auto"/>
            </w:pPr>
            <w:r>
              <w:t>—</w:t>
            </w:r>
          </w:p>
        </w:tc>
      </w:tr>
      <w:tr>
        <w:tc>
          <w:tcPr>
            <w:tcW w:type="dxa" w:w="1900"/>
          </w:tcPr>
          <w:p>
            <w:pPr>
              <w:spacing w:after="0" w:before="0" w:line="240" w:lineRule="auto"/>
            </w:pPr>
            <w:r>
              <w:rPr>
                <w:b/>
              </w:rPr>
              <w:t>Month 8 (≈ May)</w:t>
            </w:r>
            <w:r/>
          </w:p>
        </w:tc>
        <w:tc>
          <w:tcPr>
            <w:tcW w:type="dxa" w:w="5060"/>
          </w:tcPr>
          <w:p>
            <w:pPr>
              <w:spacing w:after="0" w:before="0" w:line="240" w:lineRule="auto"/>
            </w:pPr>
            <w:r>
              <w:t>Rule 30.02(f) institutional (30(b)(6)) deposition (1–3 days).</w:t>
            </w:r>
          </w:p>
        </w:tc>
        <w:tc>
          <w:tcPr>
            <w:tcW w:type="dxa" w:w="2400"/>
          </w:tcPr>
          <w:p>
            <w:pPr>
              <w:spacing w:after="0" w:before="0" w:line="240" w:lineRule="auto"/>
            </w:pPr>
            <w:r>
              <w:t>Rule 30.02(f)</w:t>
            </w:r>
          </w:p>
        </w:tc>
      </w:tr>
      <w:tr>
        <w:tc>
          <w:tcPr>
            <w:tcW w:type="dxa" w:w="1900"/>
          </w:tcPr>
          <w:p>
            <w:pPr>
              <w:spacing w:after="0" w:before="0" w:line="240" w:lineRule="auto"/>
            </w:pPr>
            <w:r>
              <w:rPr>
                <w:b/>
              </w:rPr>
              <w:t>Month 9 (≈ Jun)</w:t>
            </w:r>
            <w:r/>
          </w:p>
        </w:tc>
        <w:tc>
          <w:tcPr>
            <w:tcW w:type="dxa" w:w="5060"/>
          </w:tcPr>
          <w:p>
            <w:pPr>
              <w:spacing w:after="0" w:before="0" w:line="240" w:lineRule="auto"/>
            </w:pPr>
            <w:r>
              <w:t>Third-party depositions: Prieve, Foster, Roos, Grimm.</w:t>
            </w:r>
          </w:p>
        </w:tc>
        <w:tc>
          <w:tcPr>
            <w:tcW w:type="dxa" w:w="2400"/>
          </w:tcPr>
          <w:p>
            <w:pPr>
              <w:spacing w:after="0" w:before="0" w:line="240" w:lineRule="auto"/>
            </w:pPr>
            <w:r>
              <w:t>Rule 45</w:t>
            </w:r>
          </w:p>
        </w:tc>
      </w:tr>
      <w:tr>
        <w:tc>
          <w:tcPr>
            <w:tcW w:type="dxa" w:w="1900"/>
          </w:tcPr>
          <w:p>
            <w:pPr>
              <w:spacing w:after="0" w:before="0" w:line="240" w:lineRule="auto"/>
            </w:pPr>
            <w:r>
              <w:rPr>
                <w:b/>
              </w:rPr>
              <w:t>Month 10+ (≈ Jul)</w:t>
            </w:r>
            <w:r/>
          </w:p>
        </w:tc>
        <w:tc>
          <w:tcPr>
            <w:tcW w:type="dxa" w:w="5060"/>
          </w:tcPr>
          <w:p>
            <w:pPr>
              <w:spacing w:after="0" w:before="0" w:line="240" w:lineRule="auto"/>
            </w:pPr>
            <w:r>
              <w:t>Expert site inspections and reports; spoliation/sanctions motion → then expert disclosures.</w:t>
            </w:r>
          </w:p>
        </w:tc>
        <w:tc>
          <w:tcPr>
            <w:tcW w:type="dxa" w:w="2400"/>
          </w:tcPr>
          <w:p>
            <w:pPr>
              <w:spacing w:after="0" w:before="0" w:line="240" w:lineRule="auto"/>
            </w:pPr>
            <w:r>
              <w:t>Scheduling order; Rule 26.01(b)</w:t>
            </w:r>
          </w:p>
        </w:tc>
      </w:tr>
    </w:tbl>
    <w:p>
      <w:pPr>
        <w:spacing w:after="80" w:before="80" w:line="240" w:lineRule="auto"/>
      </w:pPr>
      <w:r>
        <w:rPr>
          <w:b/>
          <w:i w:val="0"/>
        </w:rPr>
        <w:t>D.  Deposition order (from the family's Section 9.3 sequencing logic)</w:t>
      </w:r>
    </w:p>
    <w:p>
      <w:pPr>
        <w:spacing w:after="80" w:before="0" w:line="240" w:lineRule="auto"/>
      </w:pPr>
      <w:r>
        <w:rPr>
          <w:b w:val="0"/>
          <w:i w:val="0"/>
        </w:rPr>
        <w:t>Note the deliberate order — individual fact witnesses first, the institutional (30(b)(6)) deposition later, once you have the document and individual-witness record to question the corporate designee:</w:t>
      </w:r>
    </w:p>
    <w:p>
      <w:pPr>
        <w:spacing w:after="120" w:before="0" w:line="240" w:lineRule="auto"/>
        <w:ind w:left="720" w:hanging="360"/>
      </w:pPr>
      <w:r>
        <w:rPr>
          <w:b/>
        </w:rPr>
        <w:t xml:space="preserve">1.  </w:t>
      </w:r>
      <w:r>
        <w:rPr>
          <w:b/>
        </w:rPr>
        <w:t xml:space="preserve">Brau, Monson, Dudley (foundational fact witnesses) — ~months 6–7. </w:t>
      </w:r>
      <w:r>
        <w:t>Establish the claim-handling record.</w:t>
      </w:r>
    </w:p>
    <w:p>
      <w:pPr>
        <w:spacing w:after="120" w:before="0" w:line="240" w:lineRule="auto"/>
        <w:ind w:left="720" w:hanging="360"/>
      </w:pPr>
      <w:r>
        <w:rPr>
          <w:b/>
        </w:rPr>
        <w:t xml:space="preserve">2.  </w:t>
      </w:r>
      <w:r>
        <w:rPr>
          <w:b/>
        </w:rPr>
        <w:t xml:space="preserve">Pietila and Tomes — ~month 7. </w:t>
      </w:r>
      <w:r>
        <w:t>Agent communications and the appraisal (Rule 45 for Tomes/Pietila as applicable).</w:t>
      </w:r>
    </w:p>
    <w:p>
      <w:pPr>
        <w:spacing w:after="120" w:before="0" w:line="240" w:lineRule="auto"/>
        <w:ind w:left="720" w:hanging="360"/>
      </w:pPr>
      <w:r>
        <w:rPr>
          <w:b/>
        </w:rPr>
        <w:t xml:space="preserve">3.  </w:t>
      </w:r>
      <w:r>
        <w:rPr>
          <w:b/>
        </w:rPr>
        <w:t xml:space="preserve">Rule 30.02(f) institutional designee — ~month 8. </w:t>
      </w:r>
      <w:r>
        <w:t>By now you have enough record to ask the corporate designee informed questions.</w:t>
      </w:r>
    </w:p>
    <w:p>
      <w:pPr>
        <w:spacing w:after="120" w:before="0" w:line="240" w:lineRule="auto"/>
        <w:ind w:left="720" w:hanging="360"/>
      </w:pPr>
      <w:r>
        <w:rPr>
          <w:b/>
        </w:rPr>
        <w:t xml:space="preserve">4.  </w:t>
      </w:r>
      <w:r>
        <w:rPr>
          <w:b/>
        </w:rPr>
        <w:t xml:space="preserve">Prieve, Foster, Roos, Grimm (third parties) — ~months 9–10. </w:t>
      </w:r>
      <w:r>
        <w:t>Their testimony depends on the documentary record from the earlier depositions; all by Rule 45 subpoena.</w:t>
      </w:r>
    </w:p>
    <w:p>
      <w:pPr>
        <w:spacing w:after="120" w:before="0" w:line="240" w:lineRule="auto"/>
        <w:ind w:left="720" w:hanging="360"/>
      </w:pPr>
      <w:r>
        <w:rPr>
          <w:b/>
        </w:rPr>
        <w:t xml:space="preserve">5.  </w:t>
      </w:r>
      <w:r>
        <w:rPr>
          <w:b/>
        </w:rPr>
        <w:t xml:space="preserve">Experts — last. </w:t>
      </w:r>
      <w:r>
        <w:t>After expert disclosures and reports.</w:t>
      </w:r>
    </w:p>
    <w:p>
      <w:pPr>
        <w:spacing w:after="80" w:before="80" w:line="240" w:lineRule="auto"/>
      </w:pPr>
      <w:r>
        <w:rPr>
          <w:b/>
          <w:i w:val="0"/>
        </w:rPr>
        <w:t>E.  Reconciling with the fact-discovery cutoff</w:t>
      </w:r>
    </w:p>
    <w:p>
      <w:pPr>
        <w:spacing w:after="160" w:before="0" w:line="240" w:lineRule="auto"/>
      </w:pPr>
      <w:r>
        <w:rPr>
          <w:b/>
          <w:i w:val="0"/>
        </w:rPr>
        <w:t xml:space="preserve">Important. </w:t>
      </w:r>
      <w:r>
        <w:rPr>
          <w:b w:val="0"/>
          <w:i w:val="0"/>
        </w:rPr>
        <w:t xml:space="preserve">This worst-case path runs fact depositions into about month 9–10 (≈ June–July 2027) and expert work beyond that. That is later than the May 28, 2027 fact-discovery cutoff proposed in </w:t>
      </w:r>
      <w:r>
        <w:rPr>
          <w:b w:val="0"/>
          <w:i w:val="0"/>
        </w:rPr>
        <w:t>Plaintiffs_Discovery_Plan_and_Informational_Statement.docx</w:t>
      </w:r>
      <w:r>
        <w:rPr>
          <w:b w:val="0"/>
          <w:i w:val="0"/>
        </w:rPr>
        <w:t>. To accommodate the contested path, propose a more generous schedule at the Rule 26.06 conference — a fact-discovery cutoff around late 2027 and expert disclosures in early 2028 — consistent with the family's 24-month master timeline. Do not lock in the tighter May 2027 cutoff if a fight over production is likely; you can always finish early, but you cannot easily extend a cutoff the Court has set.</w:t>
      </w:r>
    </w:p>
    <w:p>
      <w:pPr>
        <w:spacing w:after="80" w:before="40" w:line="240" w:lineRule="auto"/>
      </w:pPr>
      <w:r>
        <w:rPr>
          <w:b/>
          <w:i w:val="0"/>
        </w:rPr>
        <w:t>F.  Key timing rules (quick reference)</w:t>
      </w:r>
    </w:p>
    <w:tbl>
      <w:tblPr>
        <w:tblStyle w:val="TableGrid"/>
        <w:tblW w:type="auto" w:w="0"/>
        <w:jc w:val="center"/>
        <w:tblLook w:firstColumn="1" w:firstRow="1" w:lastColumn="0" w:lastRow="0" w:noHBand="0" w:noVBand="1" w:val="04A0"/>
      </w:tblPr>
      <w:tblGrid>
        <w:gridCol w:w="3120"/>
        <w:gridCol w:w="3120"/>
        <w:gridCol w:w="3120"/>
      </w:tblGrid>
      <w:tr>
        <w:tc>
          <w:tcPr>
            <w:tcW w:type="dxa" w:w="4200"/>
          </w:tcPr>
          <w:p>
            <w:pPr>
              <w:spacing w:after="0" w:before="0" w:line="240" w:lineRule="auto"/>
            </w:pPr>
            <w:r>
              <w:rPr>
                <w:b/>
              </w:rPr>
              <w:t>Item</w:t>
            </w:r>
          </w:p>
        </w:tc>
        <w:tc>
          <w:tcPr>
            <w:tcW w:type="dxa" w:w="2160"/>
          </w:tcPr>
          <w:p>
            <w:pPr>
              <w:spacing w:after="0" w:before="0" w:line="240" w:lineRule="auto"/>
            </w:pPr>
            <w:r>
              <w:rPr>
                <w:b/>
              </w:rPr>
              <w:t>Rule</w:t>
            </w:r>
          </w:p>
        </w:tc>
        <w:tc>
          <w:tcPr>
            <w:tcW w:type="dxa" w:w="3000"/>
          </w:tcPr>
          <w:p>
            <w:pPr>
              <w:spacing w:after="0" w:before="0" w:line="240" w:lineRule="auto"/>
            </w:pPr>
            <w:r>
              <w:rPr>
                <w:b/>
              </w:rPr>
              <w:t>Period</w:t>
            </w:r>
          </w:p>
        </w:tc>
      </w:tr>
      <w:tr>
        <w:tc>
          <w:tcPr>
            <w:tcW w:type="dxa" w:w="4200"/>
          </w:tcPr>
          <w:p>
            <w:pPr>
              <w:spacing w:after="0" w:before="0" w:line="240" w:lineRule="auto"/>
            </w:pPr>
            <w:r>
              <w:t>Interrogatory / RFP / RFA responses</w:t>
            </w:r>
          </w:p>
        </w:tc>
        <w:tc>
          <w:tcPr>
            <w:tcW w:type="dxa" w:w="2160"/>
          </w:tcPr>
          <w:p>
            <w:pPr>
              <w:spacing w:after="0" w:before="0" w:line="240" w:lineRule="auto"/>
            </w:pPr>
            <w:r>
              <w:t>33.02, 34.02, 36.02</w:t>
            </w:r>
          </w:p>
        </w:tc>
        <w:tc>
          <w:tcPr>
            <w:tcW w:type="dxa" w:w="3000"/>
          </w:tcPr>
          <w:p>
            <w:pPr>
              <w:spacing w:after="0" w:before="0" w:line="240" w:lineRule="auto"/>
            </w:pPr>
            <w:r>
              <w:t>30 days after service</w:t>
            </w:r>
          </w:p>
        </w:tc>
      </w:tr>
      <w:tr>
        <w:tc>
          <w:tcPr>
            <w:tcW w:type="dxa" w:w="4200"/>
          </w:tcPr>
          <w:p>
            <w:pPr>
              <w:spacing w:after="0" w:before="0" w:line="240" w:lineRule="auto"/>
            </w:pPr>
            <w:r>
              <w:t>Added time if served by U.S. Mail</w:t>
            </w:r>
          </w:p>
        </w:tc>
        <w:tc>
          <w:tcPr>
            <w:tcW w:type="dxa" w:w="2160"/>
          </w:tcPr>
          <w:p>
            <w:pPr>
              <w:spacing w:after="0" w:before="0" w:line="240" w:lineRule="auto"/>
            </w:pPr>
            <w:r>
              <w:t>6.01(e)</w:t>
            </w:r>
          </w:p>
        </w:tc>
        <w:tc>
          <w:tcPr>
            <w:tcW w:type="dxa" w:w="3000"/>
          </w:tcPr>
          <w:p>
            <w:pPr>
              <w:spacing w:after="0" w:before="0" w:line="240" w:lineRule="auto"/>
            </w:pPr>
            <w:r>
              <w:t>+3 days (e-service adds 0)</w:t>
            </w:r>
          </w:p>
        </w:tc>
      </w:tr>
      <w:tr>
        <w:tc>
          <w:tcPr>
            <w:tcW w:type="dxa" w:w="4200"/>
          </w:tcPr>
          <w:p>
            <w:pPr>
              <w:spacing w:after="0" w:before="0" w:line="240" w:lineRule="auto"/>
            </w:pPr>
            <w:r>
              <w:t>RFA — no timely answer</w:t>
            </w:r>
          </w:p>
        </w:tc>
        <w:tc>
          <w:tcPr>
            <w:tcW w:type="dxa" w:w="2160"/>
          </w:tcPr>
          <w:p>
            <w:pPr>
              <w:spacing w:after="0" w:before="0" w:line="240" w:lineRule="auto"/>
            </w:pPr>
            <w:r>
              <w:t>36.01</w:t>
            </w:r>
          </w:p>
        </w:tc>
        <w:tc>
          <w:tcPr>
            <w:tcW w:type="dxa" w:w="3000"/>
          </w:tcPr>
          <w:p>
            <w:pPr>
              <w:spacing w:after="0" w:before="0" w:line="240" w:lineRule="auto"/>
            </w:pPr>
            <w:r>
              <w:t>Deemed ADMITTED</w:t>
            </w:r>
          </w:p>
        </w:tc>
      </w:tr>
      <w:tr>
        <w:tc>
          <w:tcPr>
            <w:tcW w:type="dxa" w:w="4200"/>
          </w:tcPr>
          <w:p>
            <w:pPr>
              <w:spacing w:after="0" w:before="0" w:line="240" w:lineRule="auto"/>
            </w:pPr>
            <w:r>
              <w:t>Non-party subpoena objection window</w:t>
            </w:r>
          </w:p>
        </w:tc>
        <w:tc>
          <w:tcPr>
            <w:tcW w:type="dxa" w:w="2160"/>
          </w:tcPr>
          <w:p>
            <w:pPr>
              <w:spacing w:after="0" w:before="0" w:line="240" w:lineRule="auto"/>
            </w:pPr>
            <w:r>
              <w:t>45.03(d)</w:t>
            </w:r>
          </w:p>
        </w:tc>
        <w:tc>
          <w:tcPr>
            <w:tcW w:type="dxa" w:w="3000"/>
          </w:tcPr>
          <w:p>
            <w:pPr>
              <w:spacing w:after="0" w:before="0" w:line="240" w:lineRule="auto"/>
            </w:pPr>
            <w:r>
              <w:t>14 days</w:t>
            </w:r>
          </w:p>
        </w:tc>
      </w:tr>
      <w:tr>
        <w:tc>
          <w:tcPr>
            <w:tcW w:type="dxa" w:w="4200"/>
          </w:tcPr>
          <w:p>
            <w:pPr>
              <w:spacing w:after="0" w:before="0" w:line="240" w:lineRule="auto"/>
            </w:pPr>
            <w:r>
              <w:t>Notice to FIE before documents subpoena</w:t>
            </w:r>
          </w:p>
        </w:tc>
        <w:tc>
          <w:tcPr>
            <w:tcW w:type="dxa" w:w="2160"/>
          </w:tcPr>
          <w:p>
            <w:pPr>
              <w:spacing w:after="0" w:before="0" w:line="240" w:lineRule="auto"/>
            </w:pPr>
            <w:r>
              <w:t>45.01(e)/45.02(a)</w:t>
            </w:r>
          </w:p>
        </w:tc>
        <w:tc>
          <w:tcPr>
            <w:tcW w:type="dxa" w:w="3000"/>
          </w:tcPr>
          <w:p>
            <w:pPr>
              <w:spacing w:after="0" w:before="0" w:line="240" w:lineRule="auto"/>
            </w:pPr>
            <w:r>
              <w:t>≥ 7 days</w:t>
            </w:r>
          </w:p>
        </w:tc>
      </w:tr>
      <w:tr>
        <w:tc>
          <w:tcPr>
            <w:tcW w:type="dxa" w:w="4200"/>
          </w:tcPr>
          <w:p>
            <w:pPr>
              <w:spacing w:after="0" w:before="0" w:line="240" w:lineRule="auto"/>
            </w:pPr>
            <w:r>
              <w:t>Motion to compel — moving / response / reply</w:t>
            </w:r>
          </w:p>
        </w:tc>
        <w:tc>
          <w:tcPr>
            <w:tcW w:type="dxa" w:w="2160"/>
          </w:tcPr>
          <w:p>
            <w:pPr>
              <w:spacing w:after="0" w:before="0" w:line="240" w:lineRule="auto"/>
            </w:pPr>
            <w:r>
              <w:t>Gen.R.Prac.115.04</w:t>
            </w:r>
          </w:p>
        </w:tc>
        <w:tc>
          <w:tcPr>
            <w:tcW w:type="dxa" w:w="3000"/>
          </w:tcPr>
          <w:p>
            <w:pPr>
              <w:spacing w:after="0" w:before="0" w:line="240" w:lineRule="auto"/>
            </w:pPr>
            <w:r>
              <w:t>≥21 / ≥14 / ≥7 days before hearing</w:t>
            </w:r>
          </w:p>
        </w:tc>
      </w:tr>
      <w:tr>
        <w:tc>
          <w:tcPr>
            <w:tcW w:type="dxa" w:w="4200"/>
          </w:tcPr>
          <w:p>
            <w:pPr>
              <w:spacing w:after="0" w:before="0" w:line="240" w:lineRule="auto"/>
            </w:pPr>
            <w:r>
              <w:t>Meet-and-confer before any motion</w:t>
            </w:r>
          </w:p>
        </w:tc>
        <w:tc>
          <w:tcPr>
            <w:tcW w:type="dxa" w:w="2160"/>
          </w:tcPr>
          <w:p>
            <w:pPr>
              <w:spacing w:after="0" w:before="0" w:line="240" w:lineRule="auto"/>
            </w:pPr>
            <w:r>
              <w:t>37.01; 115.10</w:t>
            </w:r>
          </w:p>
        </w:tc>
        <w:tc>
          <w:tcPr>
            <w:tcW w:type="dxa" w:w="3000"/>
          </w:tcPr>
          <w:p>
            <w:pPr>
              <w:spacing w:after="0" w:before="0" w:line="240" w:lineRule="auto"/>
            </w:pPr>
            <w:r>
              <w:t>Required + certified</w:t>
            </w:r>
          </w:p>
        </w:tc>
      </w:tr>
      <w:tr>
        <w:tc>
          <w:tcPr>
            <w:tcW w:type="dxa" w:w="4200"/>
          </w:tcPr>
          <w:p>
            <w:pPr>
              <w:spacing w:after="0" w:before="0" w:line="240" w:lineRule="auto"/>
            </w:pPr>
            <w:r>
              <w:t>Deposition — length</w:t>
            </w:r>
          </w:p>
        </w:tc>
        <w:tc>
          <w:tcPr>
            <w:tcW w:type="dxa" w:w="2160"/>
          </w:tcPr>
          <w:p>
            <w:pPr>
              <w:spacing w:after="0" w:before="0" w:line="240" w:lineRule="auto"/>
            </w:pPr>
            <w:r>
              <w:t>30.04(b)</w:t>
            </w:r>
          </w:p>
        </w:tc>
        <w:tc>
          <w:tcPr>
            <w:tcW w:type="dxa" w:w="3000"/>
          </w:tcPr>
          <w:p>
            <w:pPr>
              <w:spacing w:after="0" w:before="0" w:line="240" w:lineRule="auto"/>
            </w:pPr>
            <w:r>
              <w:t>1 day / 7 hours per deponent</w:t>
            </w:r>
          </w:p>
        </w:tc>
      </w:tr>
      <w:tr>
        <w:tc>
          <w:tcPr>
            <w:tcW w:type="dxa" w:w="4200"/>
          </w:tcPr>
          <w:p>
            <w:pPr>
              <w:spacing w:after="0" w:before="0" w:line="240" w:lineRule="auto"/>
            </w:pPr>
            <w:r>
              <w:t>Interrogatory cap (all tranches combined)</w:t>
            </w:r>
          </w:p>
        </w:tc>
        <w:tc>
          <w:tcPr>
            <w:tcW w:type="dxa" w:w="2160"/>
          </w:tcPr>
          <w:p>
            <w:pPr>
              <w:spacing w:after="0" w:before="0" w:line="240" w:lineRule="auto"/>
            </w:pPr>
            <w:r>
              <w:t>33.01</w:t>
            </w:r>
          </w:p>
        </w:tc>
        <w:tc>
          <w:tcPr>
            <w:tcW w:type="dxa" w:w="3000"/>
          </w:tcPr>
          <w:p>
            <w:pPr>
              <w:spacing w:after="0" w:before="0" w:line="240" w:lineRule="auto"/>
            </w:pPr>
            <w:r>
              <w:t>50 incl. subparts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