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AD06F" w14:textId="77777777" w:rsidR="009D356D" w:rsidRDefault="00000000">
      <w:pPr>
        <w:tabs>
          <w:tab w:val="right" w:pos="9360"/>
        </w:tabs>
      </w:pPr>
      <w:r>
        <w:rPr>
          <w:b/>
          <w:bCs/>
        </w:rPr>
        <w:t>STATE OF MINNESOTA</w:t>
      </w:r>
      <w:r>
        <w:rPr>
          <w:b/>
          <w:bCs/>
        </w:rPr>
        <w:tab/>
        <w:t>DISTRICT COURT</w:t>
      </w:r>
    </w:p>
    <w:p w14:paraId="0AAAD53F" w14:textId="77777777" w:rsidR="009D356D" w:rsidRDefault="00000000">
      <w:pPr>
        <w:tabs>
          <w:tab w:val="right" w:pos="9360"/>
        </w:tabs>
      </w:pPr>
      <w:r>
        <w:rPr>
          <w:b/>
          <w:bCs/>
        </w:rPr>
        <w:t>COUNTY OF HENNEPIN</w:t>
      </w:r>
      <w:r>
        <w:rPr>
          <w:b/>
          <w:bCs/>
        </w:rPr>
        <w:tab/>
        <w:t>FOURTH JUDICIAL DISTRICT</w:t>
      </w:r>
    </w:p>
    <w:p w14:paraId="56C377B9" w14:textId="77777777" w:rsidR="009D356D" w:rsidRDefault="00000000">
      <w:pPr>
        <w:tabs>
          <w:tab w:val="right" w:pos="9360"/>
        </w:tabs>
      </w:pPr>
      <w:r>
        <w:tab/>
        <w:t>Case Type: Contract</w:t>
      </w:r>
    </w:p>
    <w:p w14:paraId="23D4E9FF"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52FD284F" w14:textId="77777777">
        <w:tc>
          <w:tcPr>
            <w:tcW w:w="5400" w:type="dxa"/>
            <w:tcBorders>
              <w:right w:val="single" w:sz="6" w:space="0" w:color="000000"/>
            </w:tcBorders>
            <w:tcMar>
              <w:top w:w="80" w:type="dxa"/>
              <w:left w:w="0" w:type="dxa"/>
              <w:bottom w:w="80" w:type="dxa"/>
              <w:right w:w="160" w:type="dxa"/>
            </w:tcMar>
          </w:tcPr>
          <w:p w14:paraId="3A21A3CB" w14:textId="77777777" w:rsidR="009D356D" w:rsidRDefault="00000000">
            <w:r>
              <w:t>Yibiao Lu and Jie Hu,</w:t>
            </w:r>
          </w:p>
          <w:p w14:paraId="37957984" w14:textId="77777777" w:rsidR="009D356D" w:rsidRDefault="009D356D"/>
          <w:p w14:paraId="7C637D77" w14:textId="77777777" w:rsidR="009D356D" w:rsidRDefault="00000000">
            <w:pPr>
              <w:ind w:left="1440"/>
            </w:pPr>
            <w:r>
              <w:t>Plaintiffs,</w:t>
            </w:r>
          </w:p>
          <w:p w14:paraId="0FD12722" w14:textId="77777777" w:rsidR="009D356D" w:rsidRDefault="009D356D"/>
          <w:p w14:paraId="65D70237" w14:textId="77777777" w:rsidR="009D356D" w:rsidRDefault="00000000">
            <w:r>
              <w:t>v.</w:t>
            </w:r>
          </w:p>
          <w:p w14:paraId="047CE109" w14:textId="77777777" w:rsidR="009D356D" w:rsidRDefault="009D356D"/>
          <w:p w14:paraId="45D1BCB5" w14:textId="77777777" w:rsidR="009D356D" w:rsidRDefault="00000000">
            <w:r>
              <w:t>Fire Insurance Exchange, by and through</w:t>
            </w:r>
          </w:p>
          <w:p w14:paraId="1A414C90" w14:textId="77777777" w:rsidR="009D356D" w:rsidRDefault="00000000">
            <w:r>
              <w:t>its attorney-in-fact, Fire Underwriters</w:t>
            </w:r>
          </w:p>
          <w:p w14:paraId="5622FDDD" w14:textId="77777777" w:rsidR="009D356D" w:rsidRDefault="00000000">
            <w:r>
              <w:t>Association (d/b/a Farmers Insurance),</w:t>
            </w:r>
          </w:p>
          <w:p w14:paraId="1771E10D" w14:textId="77777777" w:rsidR="009D356D" w:rsidRDefault="009D356D"/>
          <w:p w14:paraId="06D37A6E" w14:textId="77777777" w:rsidR="009D356D" w:rsidRDefault="00000000">
            <w:pPr>
              <w:ind w:left="1440"/>
            </w:pPr>
            <w:r>
              <w:t>Defendant.</w:t>
            </w:r>
          </w:p>
        </w:tc>
        <w:tc>
          <w:tcPr>
            <w:tcW w:w="3960" w:type="dxa"/>
            <w:tcMar>
              <w:top w:w="80" w:type="dxa"/>
              <w:left w:w="160" w:type="dxa"/>
              <w:bottom w:w="80" w:type="dxa"/>
              <w:right w:w="0" w:type="dxa"/>
            </w:tcMar>
          </w:tcPr>
          <w:p w14:paraId="7A0C851B" w14:textId="77777777" w:rsidR="009D356D" w:rsidRDefault="00000000">
            <w:r>
              <w:t>Court File No. ____________</w:t>
            </w:r>
          </w:p>
          <w:p w14:paraId="4D5B5106" w14:textId="77777777" w:rsidR="009D356D" w:rsidRDefault="009D356D"/>
          <w:p w14:paraId="43402287" w14:textId="77777777" w:rsidR="009D356D" w:rsidRDefault="009D356D"/>
          <w:p w14:paraId="0E797C99" w14:textId="77777777" w:rsidR="009D356D" w:rsidRDefault="00000000">
            <w:r>
              <w:rPr>
                <w:b/>
                <w:bCs/>
              </w:rPr>
              <w:t>COMPLAINT AND</w:t>
            </w:r>
          </w:p>
          <w:p w14:paraId="65ADAE1B" w14:textId="77777777" w:rsidR="009D356D" w:rsidRDefault="00000000">
            <w:r>
              <w:rPr>
                <w:b/>
                <w:bCs/>
              </w:rPr>
              <w:t>DEMAND FOR JURY TRIAL</w:t>
            </w:r>
          </w:p>
        </w:tc>
      </w:tr>
    </w:tbl>
    <w:p w14:paraId="55004B1F" w14:textId="77777777" w:rsidR="009D356D" w:rsidRDefault="009D356D">
      <w:pPr>
        <w:pBdr>
          <w:bottom w:val="single" w:sz="6" w:space="1" w:color="000000"/>
        </w:pBdr>
        <w:spacing w:before="60" w:after="60"/>
      </w:pPr>
    </w:p>
    <w:p w14:paraId="074EB7BC" w14:textId="77777777" w:rsidR="009D356D" w:rsidRDefault="00000000">
      <w:pPr>
        <w:spacing w:before="200" w:after="160"/>
        <w:jc w:val="center"/>
      </w:pPr>
      <w:r>
        <w:rPr>
          <w:b/>
          <w:bCs/>
          <w:sz w:val="28"/>
          <w:szCs w:val="28"/>
        </w:rPr>
        <w:t>COMPLAINT</w:t>
      </w:r>
    </w:p>
    <w:p w14:paraId="71EB681B" w14:textId="77777777" w:rsidR="009D356D" w:rsidRDefault="00000000">
      <w:pPr>
        <w:spacing w:before="240" w:after="120"/>
      </w:pPr>
      <w:r>
        <w:rPr>
          <w:b/>
          <w:bCs/>
        </w:rPr>
        <w:t>I. INTRODUCTION</w:t>
      </w:r>
    </w:p>
    <w:p w14:paraId="6F05D894" w14:textId="77777777" w:rsidR="009D356D" w:rsidRDefault="00000000">
      <w:pPr>
        <w:tabs>
          <w:tab w:val="left" w:pos="720"/>
        </w:tabs>
        <w:spacing w:after="120" w:line="480" w:lineRule="auto"/>
        <w:ind w:left="720" w:hanging="720"/>
      </w:pPr>
      <w:r>
        <w:t>1.</w:t>
      </w:r>
      <w:r>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subd. 3 and Minn. Stat. § 8.31, Subd. 3a.</w:t>
      </w:r>
    </w:p>
    <w:p w14:paraId="4E52A0DF" w14:textId="77777777" w:rsidR="009D356D" w:rsidRDefault="00000000">
      <w:pPr>
        <w:tabs>
          <w:tab w:val="left" w:pos="720"/>
        </w:tabs>
        <w:spacing w:after="120" w:line="480" w:lineRule="auto"/>
        <w:ind w:left="720" w:hanging="720"/>
      </w:pPr>
      <w:r>
        <w:t>2.</w:t>
      </w:r>
      <w:r>
        <w:tab/>
        <w:t xml:space="preserve">Plaintiffs Yibiao Lu and Jie Hu are Minnesota homeowners whose insured residence was damaged by hail on July 13, 2024. The residence is insured under homeowner's Policy 98055-49-65, issued by Defendant Fire Insurance Exchange </w:t>
      </w:r>
      <w:r>
        <w:lastRenderedPageBreak/>
        <w:t>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52F275A2" w14:textId="77777777" w:rsidR="009D356D" w:rsidRDefault="00000000">
      <w:pPr>
        <w:tabs>
          <w:tab w:val="left" w:pos="720"/>
        </w:tabs>
        <w:spacing w:after="120" w:line="480" w:lineRule="auto"/>
        <w:ind w:left="720" w:hanging="720"/>
      </w:pPr>
      <w:r>
        <w:t>3.</w:t>
      </w:r>
      <w:r>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subd. 3 and § 8.31, Subd. 3a, and such further relief as the Court deems appropriate. Plaintiffs reserve the right to seek statutory taxable costs under Minn. Stat. § 604.18 by post-pleading motion under Minn. Stat. § 604.18, Subd. 4(a).</w:t>
      </w:r>
    </w:p>
    <w:p w14:paraId="3A97B3E6" w14:textId="77777777" w:rsidR="009D356D" w:rsidRDefault="00000000">
      <w:pPr>
        <w:spacing w:before="240" w:after="120"/>
      </w:pPr>
      <w:r>
        <w:rPr>
          <w:b/>
          <w:bCs/>
        </w:rPr>
        <w:t>II. PARTIES</w:t>
      </w:r>
    </w:p>
    <w:p w14:paraId="68DD558B" w14:textId="77777777" w:rsidR="009D356D" w:rsidRDefault="00000000">
      <w:pPr>
        <w:tabs>
          <w:tab w:val="left" w:pos="720"/>
        </w:tabs>
        <w:spacing w:after="120" w:line="480" w:lineRule="auto"/>
        <w:ind w:left="720" w:hanging="720"/>
      </w:pPr>
      <w:r>
        <w:t>4.</w:t>
      </w:r>
      <w:r>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w:t>
      </w:r>
      <w:r>
        <w:lastRenderedPageBreak/>
        <w:t>insured's spouse if a resident of the same household. The policy classifies the property as “Owner Occupied (Primary Residence).”</w:t>
      </w:r>
    </w:p>
    <w:p w14:paraId="0E27B148" w14:textId="77777777" w:rsidR="009D356D" w:rsidRDefault="00000000">
      <w:pPr>
        <w:tabs>
          <w:tab w:val="left" w:pos="720"/>
        </w:tabs>
        <w:spacing w:after="120" w:line="480" w:lineRule="auto"/>
        <w:ind w:left="720" w:hanging="720"/>
      </w:pPr>
      <w:r>
        <w:t>5.</w:t>
      </w:r>
      <w:r>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23C8CD55" w14:textId="77777777" w:rsidR="009D356D" w:rsidRDefault="00000000">
      <w:pPr>
        <w:spacing w:before="240" w:after="120"/>
      </w:pPr>
      <w:r>
        <w:rPr>
          <w:b/>
          <w:bCs/>
        </w:rPr>
        <w:t>III. JURISDICTION AND VENUE</w:t>
      </w:r>
    </w:p>
    <w:p w14:paraId="6979F5DE" w14:textId="77777777" w:rsidR="009D356D" w:rsidRDefault="00000000">
      <w:pPr>
        <w:tabs>
          <w:tab w:val="left" w:pos="720"/>
        </w:tabs>
        <w:spacing w:after="120" w:line="480" w:lineRule="auto"/>
        <w:ind w:left="720" w:hanging="720"/>
      </w:pPr>
      <w:r>
        <w:t>6.</w:t>
      </w:r>
      <w:r>
        <w:tab/>
        <w:t>This Court has subject-matter jurisdiction under Minn. Stat. § 484.01.</w:t>
      </w:r>
    </w:p>
    <w:p w14:paraId="06DA2423" w14:textId="77777777" w:rsidR="009D356D" w:rsidRDefault="00000000">
      <w:pPr>
        <w:tabs>
          <w:tab w:val="left" w:pos="720"/>
        </w:tabs>
        <w:spacing w:after="120" w:line="480" w:lineRule="auto"/>
        <w:ind w:left="720" w:hanging="720"/>
      </w:pPr>
      <w:r>
        <w:t>7.</w:t>
      </w:r>
      <w:r>
        <w:tab/>
        <w:t>This Court has personal jurisdiction over Defendant under Minn. Stat. § 543.19.</w:t>
      </w:r>
    </w:p>
    <w:p w14:paraId="79A90810" w14:textId="77777777" w:rsidR="009D356D" w:rsidRDefault="00000000">
      <w:pPr>
        <w:tabs>
          <w:tab w:val="left" w:pos="720"/>
        </w:tabs>
        <w:spacing w:after="120" w:line="480" w:lineRule="auto"/>
        <w:ind w:left="720" w:hanging="720"/>
      </w:pPr>
      <w:r>
        <w:t>8.</w:t>
      </w:r>
      <w:r>
        <w:tab/>
        <w:t>Venue is proper in Hennepin County under Minn. Stat. § 542.09 because the cause of action, or some part thereof, arose in Hennepin County, where the insured property is located.</w:t>
      </w:r>
    </w:p>
    <w:p w14:paraId="64A7343D" w14:textId="77777777" w:rsidR="009D356D" w:rsidRDefault="00000000">
      <w:pPr>
        <w:spacing w:before="240" w:after="120"/>
      </w:pPr>
      <w:r>
        <w:rPr>
          <w:b/>
          <w:bCs/>
        </w:rPr>
        <w:t>IV. FACTUAL BACKGROUND</w:t>
      </w:r>
    </w:p>
    <w:p w14:paraId="7D8BEDAF" w14:textId="77777777" w:rsidR="009D356D" w:rsidRDefault="00000000">
      <w:pPr>
        <w:spacing w:before="160" w:after="80"/>
      </w:pPr>
      <w:r>
        <w:rPr>
          <w:b/>
          <w:bCs/>
        </w:rPr>
        <w:t>A. The Policy</w:t>
      </w:r>
    </w:p>
    <w:p w14:paraId="7C2A577E" w14:textId="77777777" w:rsidR="009D356D" w:rsidRDefault="00000000">
      <w:pPr>
        <w:tabs>
          <w:tab w:val="left" w:pos="720"/>
        </w:tabs>
        <w:spacing w:after="120" w:line="480" w:lineRule="auto"/>
        <w:ind w:left="720" w:hanging="720"/>
      </w:pPr>
      <w:r>
        <w:t>9.</w:t>
      </w:r>
      <w:r>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w:t>
      </w:r>
      <w:r>
        <w:lastRenderedPageBreak/>
        <w:t>household purposes. The policy has been continuously renewed since 2014, including the renewal in force on July 13, 2024.</w:t>
      </w:r>
    </w:p>
    <w:p w14:paraId="7F6B85D0" w14:textId="77777777" w:rsidR="009D356D" w:rsidRDefault="00000000">
      <w:pPr>
        <w:tabs>
          <w:tab w:val="left" w:pos="720"/>
        </w:tabs>
        <w:spacing w:after="120" w:line="480" w:lineRule="auto"/>
        <w:ind w:left="720" w:hanging="720"/>
      </w:pPr>
      <w:r>
        <w:t>10.</w:t>
      </w:r>
      <w:r>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5AF9854E" w14:textId="77777777" w:rsidR="009D356D" w:rsidRDefault="00000000">
      <w:pPr>
        <w:tabs>
          <w:tab w:val="left" w:pos="720"/>
        </w:tabs>
        <w:spacing w:after="120" w:line="480" w:lineRule="auto"/>
        <w:ind w:left="720" w:hanging="720"/>
      </w:pPr>
      <w:r>
        <w:t>11.</w:t>
      </w:r>
      <w:r>
        <w:tab/>
        <w:t>Plaintiffs paid all premiums due under the policy through and after the loss date. Premium was priced to include windstorm/hail coverage.</w:t>
      </w:r>
    </w:p>
    <w:p w14:paraId="317BEE35" w14:textId="77777777" w:rsidR="009D356D" w:rsidRDefault="00000000">
      <w:pPr>
        <w:spacing w:before="160" w:after="80"/>
      </w:pPr>
      <w:r>
        <w:rPr>
          <w:b/>
          <w:bCs/>
        </w:rPr>
        <w:t>B. The July 13, 2024 Hailstorm</w:t>
      </w:r>
    </w:p>
    <w:p w14:paraId="7A6E3E2B" w14:textId="77777777" w:rsidR="009D356D" w:rsidRDefault="00000000">
      <w:pPr>
        <w:tabs>
          <w:tab w:val="left" w:pos="720"/>
        </w:tabs>
        <w:spacing w:after="120" w:line="480" w:lineRule="auto"/>
        <w:ind w:left="720" w:hanging="720"/>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7253EC6E" w14:textId="77777777" w:rsidR="009D356D" w:rsidRDefault="00000000">
      <w:pPr>
        <w:spacing w:before="160" w:after="80"/>
      </w:pPr>
      <w:r>
        <w:rPr>
          <w:b/>
          <w:bCs/>
        </w:rPr>
        <w:lastRenderedPageBreak/>
        <w:t>C. Discovery of Damage and Claim Opening</w:t>
      </w:r>
    </w:p>
    <w:p w14:paraId="18A23F0F" w14:textId="77777777" w:rsidR="009D356D" w:rsidRDefault="00000000">
      <w:pPr>
        <w:tabs>
          <w:tab w:val="left" w:pos="720"/>
        </w:tabs>
        <w:spacing w:after="120" w:line="480" w:lineRule="auto"/>
        <w:ind w:left="720" w:hanging="720"/>
      </w:pPr>
      <w:r>
        <w:t>13.</w:t>
      </w:r>
      <w:r>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2359E91C" w14:textId="77777777" w:rsidR="009D356D" w:rsidRDefault="00000000">
      <w:pPr>
        <w:tabs>
          <w:tab w:val="left" w:pos="720"/>
        </w:tabs>
        <w:spacing w:after="120" w:line="480" w:lineRule="auto"/>
        <w:ind w:left="720" w:hanging="720"/>
      </w:pPr>
      <w:r>
        <w:t>14.</w:t>
      </w:r>
      <w:r>
        <w:tab/>
        <w:t>Plaintiffs cooperated with Defendant's claim-handling process throughout. Plaintiffs called Defendant for a status update on August 19, 2024 and proactively contacted Hancock Claims Consultants, Defendant's chosen inspection vendor, on August 20, 2024.</w:t>
      </w:r>
    </w:p>
    <w:p w14:paraId="4B5095A9" w14:textId="77777777" w:rsidR="009D356D" w:rsidRDefault="00000000">
      <w:pPr>
        <w:spacing w:before="160" w:after="80"/>
      </w:pPr>
      <w:r>
        <w:rPr>
          <w:b/>
          <w:bCs/>
        </w:rPr>
        <w:t>D. The Three Inspections</w:t>
      </w:r>
    </w:p>
    <w:p w14:paraId="6D8A60F7" w14:textId="77777777" w:rsidR="009D356D" w:rsidRDefault="00000000">
      <w:pPr>
        <w:tabs>
          <w:tab w:val="left" w:pos="720"/>
        </w:tabs>
        <w:spacing w:after="120" w:line="480" w:lineRule="auto"/>
        <w:ind w:left="720" w:hanging="720"/>
      </w:pPr>
      <w:r>
        <w:t>15.</w:t>
      </w:r>
      <w:r>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70B6C522" w14:textId="77777777" w:rsidR="009D356D" w:rsidRDefault="00000000">
      <w:pPr>
        <w:tabs>
          <w:tab w:val="left" w:pos="720"/>
        </w:tabs>
        <w:spacing w:after="120" w:line="480" w:lineRule="auto"/>
        <w:ind w:left="720" w:hanging="720"/>
      </w:pPr>
      <w:r>
        <w:t>16.</w:t>
      </w:r>
      <w:r>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w:t>
      </w:r>
      <w:r>
        <w:lastRenderedPageBreak/>
        <w:t>Brau personally responded to Plaintiffs' request for his notes by stating “all the information we can release has already been sent to you” — a statement in tension with Defendant's “no report exists” position.</w:t>
      </w:r>
    </w:p>
    <w:p w14:paraId="2EB5AEA6" w14:textId="77777777" w:rsidR="009D356D" w:rsidRDefault="00000000">
      <w:pPr>
        <w:tabs>
          <w:tab w:val="left" w:pos="720"/>
        </w:tabs>
        <w:spacing w:after="120" w:line="480" w:lineRule="auto"/>
        <w:ind w:left="720" w:hanging="720"/>
      </w:pPr>
      <w:r>
        <w:t>17.</w:t>
      </w:r>
      <w:r>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twenty-five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0AF9F58B" w14:textId="77777777" w:rsidR="009D356D" w:rsidRDefault="00000000">
      <w:pPr>
        <w:spacing w:before="160" w:after="80"/>
      </w:pPr>
      <w:r>
        <w:rPr>
          <w:b/>
          <w:bCs/>
        </w:rPr>
        <w:t>E. The Two Denials, on Incompatible Theories</w:t>
      </w:r>
    </w:p>
    <w:p w14:paraId="324D83CE" w14:textId="77777777" w:rsidR="009D356D" w:rsidRDefault="00000000">
      <w:pPr>
        <w:tabs>
          <w:tab w:val="left" w:pos="720"/>
        </w:tabs>
        <w:spacing w:after="120" w:line="480" w:lineRule="auto"/>
        <w:ind w:left="720" w:hanging="720"/>
      </w:pPr>
      <w:r>
        <w:t>18.</w:t>
      </w:r>
      <w:r>
        <w:tab/>
      </w:r>
      <w:r>
        <w:rPr>
          <w:b/>
          <w:bCs/>
        </w:rPr>
        <w:t>First denial (September 3, 2024).</w:t>
      </w:r>
      <w:r>
        <w:t xml:space="preserve"> Just days after the Hancock inspection, Defendant denied the claim by phone and by formal written letter signed by Catastrophe Claims Representative Christian Dudley. The September 3, 2024 </w:t>
      </w:r>
      <w:r>
        <w:lastRenderedPageBreak/>
        <w:t>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62C6330D" w14:textId="77777777" w:rsidR="009D356D" w:rsidRDefault="00000000">
      <w:pPr>
        <w:tabs>
          <w:tab w:val="left" w:pos="720"/>
        </w:tabs>
        <w:spacing w:after="120" w:line="480" w:lineRule="auto"/>
        <w:ind w:left="720" w:hanging="720"/>
      </w:pPr>
      <w:r>
        <w:t>19.</w:t>
      </w:r>
      <w:r>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68A162EB" w14:textId="77777777" w:rsidR="009D356D" w:rsidRDefault="00000000">
      <w:pPr>
        <w:tabs>
          <w:tab w:val="left" w:pos="720"/>
        </w:tabs>
        <w:spacing w:after="120" w:line="480" w:lineRule="auto"/>
        <w:ind w:left="720" w:hanging="720"/>
      </w:pPr>
      <w:r>
        <w:t>20.</w:t>
      </w:r>
      <w:r>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125CD27A" w14:textId="77777777" w:rsidR="009D356D" w:rsidRDefault="00000000">
      <w:pPr>
        <w:tabs>
          <w:tab w:val="left" w:pos="1440"/>
        </w:tabs>
        <w:spacing w:after="120" w:line="480" w:lineRule="auto"/>
        <w:ind w:left="1440" w:hanging="720"/>
      </w:pPr>
      <w:r>
        <w:t>a.</w:t>
      </w:r>
      <w:r>
        <w:tab/>
        <w:t xml:space="preserve">National Weather Service Twin Cities/Chanhassen documentation of the July 13–14, 2024 storm system, which produced hail up to 3.5–4 inches </w:t>
      </w:r>
      <w:r>
        <w:lastRenderedPageBreak/>
        <w:t>across the region and a 48 MPH wind gust recorded at the Eden Prairie ASOS station at 1:00 AM on July 14, 2024;</w:t>
      </w:r>
    </w:p>
    <w:p w14:paraId="0E034487" w14:textId="77777777" w:rsidR="009D356D" w:rsidRDefault="00000000" w:rsidP="009636EC">
      <w:pPr>
        <w:tabs>
          <w:tab w:val="left" w:pos="1440"/>
        </w:tabs>
        <w:spacing w:after="120" w:line="480" w:lineRule="auto"/>
        <w:ind w:left="1440" w:hanging="720"/>
      </w:pPr>
      <w:r>
        <w:t>b.</w:t>
      </w:r>
      <w:r>
        <w:tab/>
        <w:t>Stormersite data showing hail reports near Eden Prairie in 2022, 2023, and 2024;</w:t>
      </w:r>
    </w:p>
    <w:p w14:paraId="2E6896FB" w14:textId="77777777" w:rsidR="009D356D" w:rsidRDefault="009636EC">
      <w:pPr>
        <w:tabs>
          <w:tab w:val="left" w:pos="1440"/>
        </w:tabs>
        <w:spacing w:after="120" w:line="480" w:lineRule="auto"/>
        <w:ind w:left="1440" w:hanging="720"/>
      </w:pPr>
      <w:r>
        <w:t>c.</w:t>
      </w:r>
      <w:r>
        <w:tab/>
        <w:t>Plaintiffs' contemporaneous canvass of nineteen neighboring homeowners, of whom fourteen confirmed hail-driven exterior repairs in the immediate neighborhood after 2020; and</w:t>
      </w:r>
    </w:p>
    <w:p w14:paraId="7D74EDE7" w14:textId="77777777" w:rsidR="009D356D" w:rsidRDefault="009636EC">
      <w:pPr>
        <w:tabs>
          <w:tab w:val="left" w:pos="1440"/>
        </w:tabs>
        <w:spacing w:after="120" w:line="480" w:lineRule="auto"/>
        <w:ind w:left="1440" w:hanging="720"/>
      </w:pPr>
      <w:r>
        <w:t>d.</w:t>
      </w:r>
      <w:r>
        <w:tab/>
        <w:t>Defendant's own September 12, 2025 appraisal award, signed by the umpire Wade Roos and by Plaintiffs' appraiser John Foster, finding hail as the cause of loss to insured windows at the property.</w:t>
      </w:r>
    </w:p>
    <w:p w14:paraId="09D7A524" w14:textId="77777777" w:rsidR="009D356D" w:rsidRDefault="00000000">
      <w:pPr>
        <w:tabs>
          <w:tab w:val="left" w:pos="720"/>
        </w:tabs>
        <w:spacing w:after="120" w:line="480" w:lineRule="auto"/>
        <w:ind w:left="720" w:hanging="720"/>
      </w:pPr>
      <w:r>
        <w:t>21.</w:t>
      </w:r>
      <w:r>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30E7110C" w14:textId="77777777" w:rsidR="009D356D" w:rsidRDefault="00000000">
      <w:pPr>
        <w:tabs>
          <w:tab w:val="left" w:pos="720"/>
        </w:tabs>
        <w:spacing w:after="120" w:line="480" w:lineRule="auto"/>
        <w:ind w:left="720" w:hanging="720"/>
      </w:pPr>
      <w:r>
        <w:t>22.</w:t>
      </w:r>
      <w:r>
        <w:tab/>
      </w:r>
      <w:r>
        <w:rPr>
          <w:b/>
          <w:bCs/>
        </w:rPr>
        <w:t>The Prieve report on which the November 4, 2024 denial principally rests is independently deficient on its face.</w:t>
      </w:r>
      <w:r>
        <w:t xml:space="preserve"> The deficiencies include, without limitation:</w:t>
      </w:r>
      <w:r>
        <w:tab/>
      </w:r>
    </w:p>
    <w:p w14:paraId="2B85D154" w14:textId="77777777" w:rsidR="00236E3E" w:rsidRDefault="00000000">
      <w:pPr>
        <w:tabs>
          <w:tab w:val="left" w:pos="1440"/>
        </w:tabs>
        <w:spacing w:after="120" w:line="480" w:lineRule="auto"/>
        <w:ind w:left="1440" w:hanging="720"/>
      </w:pPr>
      <w:r>
        <w:t>a.</w:t>
      </w:r>
      <w:r>
        <w:tab/>
        <w:t>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14:paraId="47BC406F" w14:textId="77777777" w:rsidR="00236E3E" w:rsidRDefault="00000000">
      <w:pPr>
        <w:tabs>
          <w:tab w:val="left" w:pos="1440"/>
        </w:tabs>
        <w:spacing w:after="120" w:line="480" w:lineRule="auto"/>
        <w:ind w:left="1440" w:hanging="720"/>
      </w:pPr>
      <w:r>
        <w:lastRenderedPageBreak/>
        <w:t>b.</w:t>
      </w:r>
      <w:r>
        <w:tab/>
        <w:t>Prieve's own Photo Appendix A documents non-window damage in its captions (dented downspouts at A-42, A-91 through A-93, A-98 and A-99; dented flashing at A-103; chipped trim board at A-54, A-90 and A-148) that the report's narrative and Conclusions do not address;</w:t>
      </w:r>
    </w:p>
    <w:p w14:paraId="1C00AFA7" w14:textId="77777777" w:rsidR="00236E3E" w:rsidRDefault="00000000">
      <w:pPr>
        <w:tabs>
          <w:tab w:val="left" w:pos="1440"/>
        </w:tabs>
        <w:spacing w:after="120" w:line="480" w:lineRule="auto"/>
        <w:ind w:left="1440" w:hanging="720"/>
      </w:pPr>
      <w:r>
        <w:t>c.</w:t>
      </w:r>
      <w:r>
        <w:tab/>
        <w:t>Plaintiffs' gutters and downspouts were replaced after September 13, 2021, such that any dent on those components physically cannot pre-date late 2021 and is direct physical evidence of post-2020 hail activity at the property;</w:t>
      </w:r>
    </w:p>
    <w:p w14:paraId="615F5E86" w14:textId="77777777" w:rsidR="00236E3E" w:rsidRDefault="00000000">
      <w:pPr>
        <w:tabs>
          <w:tab w:val="left" w:pos="1440"/>
        </w:tabs>
        <w:spacing w:after="120" w:line="480" w:lineRule="auto"/>
        <w:ind w:left="1440" w:hanging="720"/>
      </w:pPr>
      <w:r>
        <w:t>d.</w:t>
      </w:r>
      <w:r>
        <w:tab/>
        <w:t>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14:paraId="22BA381D" w14:textId="77777777" w:rsidR="00236E3E" w:rsidRDefault="00000000">
      <w:pPr>
        <w:tabs>
          <w:tab w:val="left" w:pos="1440"/>
        </w:tabs>
        <w:spacing w:after="120" w:line="480" w:lineRule="auto"/>
        <w:ind w:left="1440" w:hanging="720"/>
      </w:pPr>
      <w:r>
        <w:t>e.</w:t>
      </w:r>
      <w:r>
        <w:tab/>
        <w:t>the report's narrative uses the word “dent” or “dents” sixteen separate times on a single page (the east-side discussion) before concluding “no recent hail damage has occurred”;</w:t>
      </w:r>
    </w:p>
    <w:p w14:paraId="5D07668F" w14:textId="77777777" w:rsidR="00236E3E" w:rsidRDefault="00000000">
      <w:pPr>
        <w:tabs>
          <w:tab w:val="left" w:pos="1440"/>
        </w:tabs>
        <w:spacing w:after="120" w:line="480" w:lineRule="auto"/>
        <w:ind w:left="1440" w:hanging="720"/>
      </w:pPr>
      <w:r>
        <w:t>f.</w:t>
      </w:r>
      <w:r>
        <w:tab/>
        <w:t>the report contains no quantitative impact-force calculation, no terminal-velocity calculation, no material-specific dent-depth threshold for extruded aluminum or aluminum-clad wood windows, no peer-reviewed citation, and no stated error rate;</w:t>
      </w:r>
    </w:p>
    <w:p w14:paraId="7FF6545C" w14:textId="77777777" w:rsidR="00236E3E" w:rsidRDefault="00000000">
      <w:pPr>
        <w:tabs>
          <w:tab w:val="left" w:pos="1440"/>
        </w:tabs>
        <w:spacing w:after="120" w:line="480" w:lineRule="auto"/>
        <w:ind w:left="1440" w:hanging="720"/>
      </w:pPr>
      <w:r>
        <w:lastRenderedPageBreak/>
        <w:t>g.</w:t>
      </w:r>
      <w:r>
        <w:tab/>
        <w:t>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14:paraId="280F5A83" w14:textId="77777777" w:rsidR="00236E3E" w:rsidRDefault="00000000">
      <w:pPr>
        <w:tabs>
          <w:tab w:val="left" w:pos="1440"/>
        </w:tabs>
        <w:spacing w:after="120" w:line="480" w:lineRule="auto"/>
        <w:ind w:left="1440" w:hanging="720"/>
      </w:pPr>
      <w:r>
        <w:t>h.</w:t>
      </w:r>
      <w:r>
        <w:tab/>
        <w:t>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14:paraId="70102EA0" w14:textId="77777777" w:rsidR="00236E3E" w:rsidRDefault="00000000">
      <w:pPr>
        <w:tabs>
          <w:tab w:val="left" w:pos="1440"/>
        </w:tabs>
        <w:spacing w:after="120" w:line="480" w:lineRule="auto"/>
        <w:ind w:left="1440" w:hanging="720"/>
      </w:pPr>
      <w:r>
        <w:t>i.</w:t>
      </w:r>
      <w:r>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w:t>
      </w:r>
      <w:r>
        <w:lastRenderedPageBreak/>
        <w:t>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37D9A490" w14:textId="77777777" w:rsidR="009D356D" w:rsidRDefault="00000000">
      <w:pPr>
        <w:tabs>
          <w:tab w:val="left" w:pos="720"/>
        </w:tabs>
        <w:spacing w:after="120" w:line="480" w:lineRule="auto"/>
        <w:ind w:left="720" w:hanging="720"/>
      </w:pPr>
      <w:r>
        <w:t>23.</w:t>
      </w:r>
      <w:r>
        <w:tab/>
      </w:r>
      <w:r>
        <w:rPr>
          <w:b/>
          <w:bCs/>
        </w:rPr>
        <w:t>Defendant's own 2020 claim file establishes a baseline condition of the windows that forecloses its “prior damage” rationale for all but the two paid units.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8B0C7E" w14:textId="77777777" w:rsidR="009D356D" w:rsidRDefault="00000000">
      <w:pPr>
        <w:tabs>
          <w:tab w:val="left" w:pos="1440"/>
        </w:tabs>
        <w:spacing w:after="120" w:line="480" w:lineRule="auto"/>
        <w:ind w:left="1440" w:hanging="720"/>
      </w:pPr>
      <w:r>
        <w:t>a.</w:t>
      </w:r>
      <w:r>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t>
      </w:r>
      <w:r>
        <w:lastRenderedPageBreak/>
        <w:t>window units; but on either reading, the 2020 claim reached no more than two of the home's window units.</w:t>
      </w:r>
    </w:p>
    <w:p w14:paraId="786B11FD" w14:textId="77777777" w:rsidR="009D356D" w:rsidRDefault="00000000">
      <w:pPr>
        <w:tabs>
          <w:tab w:val="left" w:pos="1440"/>
        </w:tabs>
        <w:spacing w:after="120" w:line="480" w:lineRule="auto"/>
        <w:ind w:left="1440" w:hanging="720"/>
      </w:pPr>
      <w:r>
        <w:t>b.</w:t>
      </w:r>
      <w:r>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3E9E1D68" w14:textId="77777777" w:rsidR="009D356D" w:rsidRDefault="00000000">
      <w:pPr>
        <w:tabs>
          <w:tab w:val="left" w:pos="1440"/>
        </w:tabs>
        <w:spacing w:after="120" w:line="480" w:lineRule="auto"/>
        <w:ind w:left="1440" w:hanging="720"/>
      </w:pPr>
      <w:r>
        <w:t>c.</w:t>
      </w:r>
      <w:r>
        <w:tab/>
      </w:r>
      <w:r>
        <w:rPr>
          <w:b/>
          <w:bCs/>
        </w:rPr>
        <w:t>The only hail event documented at the property in Defendant's claim records after the 2020 inspection is the July 13, 2024 hailstorm.</w:t>
      </w:r>
      <w:r>
        <w:t xml:space="preserve"> The post-2020 dents the Prieve report catalogs across at least twenty-five windows therefore align with the July 13, 2024 loss and cannot be attributed to the 2020 claim, which by Defendant's own scope reached at most two window units.</w:t>
      </w:r>
    </w:p>
    <w:p w14:paraId="52DAFA6B" w14:textId="77777777" w:rsidR="009D356D" w:rsidRDefault="00000000">
      <w:pPr>
        <w:tabs>
          <w:tab w:val="left" w:pos="1440"/>
        </w:tabs>
        <w:spacing w:after="120" w:line="480" w:lineRule="auto"/>
        <w:ind w:left="1440" w:hanging="720"/>
      </w:pPr>
      <w:r>
        <w:t>d.</w:t>
      </w:r>
      <w:r>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w:t>
      </w:r>
      <w:r>
        <w:lastRenderedPageBreak/>
        <w:t>and Prieve's attribution of additional sashes to the 2020 claim is contradicted by Defendant's own file.</w:t>
      </w:r>
    </w:p>
    <w:p w14:paraId="35C5BA55" w14:textId="77777777" w:rsidR="009D356D" w:rsidRDefault="00000000">
      <w:pPr>
        <w:tabs>
          <w:tab w:val="left" w:pos="1440"/>
        </w:tabs>
        <w:spacing w:after="120" w:line="480" w:lineRule="auto"/>
        <w:ind w:left="1440" w:hanging="720"/>
      </w:pPr>
      <w:r>
        <w:t>e.</w:t>
      </w:r>
      <w:r>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7D8A1216" w14:textId="77777777" w:rsidR="009D356D" w:rsidRDefault="00000000">
      <w:pPr>
        <w:spacing w:before="160" w:after="80"/>
      </w:pPr>
      <w:r>
        <w:rPr>
          <w:b/>
          <w:bCs/>
        </w:rPr>
        <w:t>F. The “Engineer's Report Only” Gatekeeping Rule</w:t>
      </w:r>
    </w:p>
    <w:p w14:paraId="34E4D393" w14:textId="77777777" w:rsidR="009D356D" w:rsidRDefault="00000000">
      <w:pPr>
        <w:tabs>
          <w:tab w:val="left" w:pos="720"/>
        </w:tabs>
        <w:spacing w:after="120" w:line="480" w:lineRule="auto"/>
        <w:ind w:left="720" w:hanging="720"/>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4995725D" w14:textId="77777777" w:rsidR="009D356D" w:rsidRDefault="00000000">
      <w:pPr>
        <w:tabs>
          <w:tab w:val="left" w:pos="720"/>
        </w:tabs>
        <w:spacing w:after="120" w:line="480" w:lineRule="auto"/>
        <w:ind w:left="720" w:hanging="720"/>
      </w:pPr>
      <w:r>
        <w:t>25.</w:t>
      </w:r>
      <w:r>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055129F6" w14:textId="77777777" w:rsidR="009D356D" w:rsidRDefault="00000000">
      <w:pPr>
        <w:tabs>
          <w:tab w:val="left" w:pos="720"/>
        </w:tabs>
        <w:spacing w:after="120" w:line="480" w:lineRule="auto"/>
        <w:ind w:left="720" w:hanging="720"/>
      </w:pPr>
      <w:r>
        <w:lastRenderedPageBreak/>
        <w:t>26.</w:t>
      </w:r>
      <w:r>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15C3837C" w14:textId="77777777" w:rsidR="009D356D" w:rsidRDefault="00000000">
      <w:pPr>
        <w:spacing w:before="160" w:after="80"/>
      </w:pPr>
      <w:r>
        <w:rPr>
          <w:b/>
          <w:bCs/>
        </w:rPr>
        <w:t>G. Plaintiffs' Repeated Submissions of Disproving Evidence; Defendant's Refusal to Engage</w:t>
      </w:r>
    </w:p>
    <w:p w14:paraId="0897D99B" w14:textId="77777777" w:rsidR="009D356D" w:rsidRDefault="00000000">
      <w:pPr>
        <w:tabs>
          <w:tab w:val="left" w:pos="720"/>
        </w:tabs>
        <w:spacing w:after="120" w:line="480" w:lineRule="auto"/>
        <w:ind w:left="720" w:hanging="720"/>
      </w:pPr>
      <w:r>
        <w:t>27.</w:t>
      </w:r>
      <w:r>
        <w:tab/>
        <w:t xml:space="preserve">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w:t>
      </w:r>
      <w:r>
        <w:lastRenderedPageBreak/>
        <w:t>regulatory complaint to the Minnesota Department of Commerce filed November 19, 2024 (Complaint ID 93547) was processed and escalated to Director-level review but produced no compulsory action.</w:t>
      </w:r>
    </w:p>
    <w:p w14:paraId="4483D391" w14:textId="77777777" w:rsidR="009D356D" w:rsidRDefault="00000000">
      <w:pPr>
        <w:spacing w:before="160" w:after="80"/>
      </w:pPr>
      <w:r>
        <w:rPr>
          <w:b/>
          <w:bCs/>
        </w:rPr>
        <w:t>H. Plaintiffs' Direct Inquiry About Deadlines; Defendant's Non-Answer; Defendant's Continued Participation in the Claim</w:t>
      </w:r>
    </w:p>
    <w:p w14:paraId="10584DBA" w14:textId="77777777" w:rsidR="009D356D" w:rsidRDefault="00000000">
      <w:pPr>
        <w:tabs>
          <w:tab w:val="left" w:pos="720"/>
        </w:tabs>
        <w:spacing w:after="120" w:line="480" w:lineRule="auto"/>
        <w:ind w:left="720" w:hanging="720"/>
      </w:pPr>
      <w:r>
        <w:t>28.</w:t>
      </w:r>
      <w:r>
        <w:tab/>
        <w:t>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26AA8933" w14:textId="77777777" w:rsidR="009D356D" w:rsidRDefault="00000000">
      <w:pPr>
        <w:tabs>
          <w:tab w:val="left" w:pos="720"/>
        </w:tabs>
        <w:spacing w:after="120" w:line="480" w:lineRule="auto"/>
        <w:ind w:left="720" w:hanging="720"/>
      </w:pPr>
      <w:r>
        <w:t>29.</w:t>
      </w:r>
      <w:r>
        <w:tab/>
        <w:t xml:space="preserve">After Plaintiffs' July 10, 2025 deadline inquiry, Defendant continued to treat the claim as live and participated fully in the contractual appraisal process: Defendant accepted Plaintiffs' August 3, 2025 Demand for Appraisal, named its own </w:t>
      </w:r>
      <w:r>
        <w:lastRenderedPageBreak/>
        <w:t>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775E3EF1" w14:textId="77777777" w:rsidR="009D356D" w:rsidRDefault="00000000">
      <w:pPr>
        <w:spacing w:before="160" w:after="80"/>
      </w:pPr>
      <w:r>
        <w:rPr>
          <w:b/>
          <w:bCs/>
        </w:rPr>
        <w:t>I. The Appraisal Process</w:t>
      </w:r>
    </w:p>
    <w:p w14:paraId="75A1A673" w14:textId="77777777" w:rsidR="009D356D" w:rsidRDefault="00000000">
      <w:pPr>
        <w:tabs>
          <w:tab w:val="left" w:pos="720"/>
        </w:tabs>
        <w:spacing w:after="120" w:line="480" w:lineRule="auto"/>
        <w:ind w:left="720" w:hanging="720"/>
      </w:pPr>
      <w:r>
        <w:t>30.</w:t>
      </w:r>
      <w:r>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557B7034" w14:textId="77777777" w:rsidR="009D356D" w:rsidRDefault="00000000">
      <w:pPr>
        <w:tabs>
          <w:tab w:val="left" w:pos="720"/>
        </w:tabs>
        <w:spacing w:after="120" w:line="480" w:lineRule="auto"/>
        <w:ind w:left="720" w:hanging="720"/>
      </w:pPr>
      <w:r>
        <w:t>31.</w:t>
      </w:r>
      <w:r>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w:t>
      </w:r>
      <w:r>
        <w:lastRenderedPageBreak/>
        <w:t>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7B8C606A" w14:textId="77777777" w:rsidR="009D356D" w:rsidRDefault="00000000">
      <w:pPr>
        <w:tabs>
          <w:tab w:val="left" w:pos="720"/>
        </w:tabs>
        <w:spacing w:after="120" w:line="480" w:lineRule="auto"/>
        <w:ind w:left="720" w:hanging="720"/>
      </w:pPr>
      <w:r>
        <w:t>32.</w:t>
      </w:r>
      <w:r>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535BC76E" w14:textId="77777777" w:rsidR="009D356D" w:rsidRDefault="00000000">
      <w:pPr>
        <w:tabs>
          <w:tab w:val="left" w:pos="720"/>
        </w:tabs>
        <w:spacing w:after="120" w:line="480" w:lineRule="auto"/>
        <w:ind w:left="720" w:hanging="720"/>
      </w:pPr>
      <w:r>
        <w:t>33.</w:t>
      </w:r>
      <w:r>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02FEA9A5" w14:textId="77777777" w:rsidR="009D356D" w:rsidRDefault="00000000">
      <w:pPr>
        <w:tabs>
          <w:tab w:val="left" w:pos="720"/>
        </w:tabs>
        <w:spacing w:after="120" w:line="480" w:lineRule="auto"/>
        <w:ind w:left="720" w:hanging="720"/>
      </w:pPr>
      <w:r>
        <w:t>34.</w:t>
      </w:r>
      <w:r>
        <w:tab/>
      </w:r>
      <w:r>
        <w:rPr>
          <w:b/>
          <w:bCs/>
        </w:rPr>
        <w:t>The umpire produced no report or estimate.</w:t>
      </w:r>
      <w:r>
        <w:t xml:space="preserve"> On September 24, 2025, Defendant confirmed in writing: “Unfortunately, the umpire did not provide a report or estimate.”</w:t>
      </w:r>
    </w:p>
    <w:p w14:paraId="7EBEDAE1" w14:textId="77777777" w:rsidR="009D356D" w:rsidRDefault="00000000">
      <w:pPr>
        <w:tabs>
          <w:tab w:val="left" w:pos="720"/>
        </w:tabs>
        <w:spacing w:after="120" w:line="480" w:lineRule="auto"/>
        <w:ind w:left="720" w:hanging="720"/>
      </w:pPr>
      <w:r>
        <w:t>35.</w:t>
      </w:r>
      <w:r>
        <w:tab/>
      </w:r>
      <w:r>
        <w:rPr>
          <w:b/>
          <w:bCs/>
        </w:rPr>
        <w:t>The net payment to Plaintiffs is $0</w:t>
      </w:r>
      <w:r>
        <w:t xml:space="preserve"> because the $17,720 deductible exceeds the $6,400 ACV awarded.</w:t>
      </w:r>
    </w:p>
    <w:p w14:paraId="7ADFF5EE" w14:textId="77777777" w:rsidR="009D356D" w:rsidRDefault="00000000">
      <w:pPr>
        <w:spacing w:before="160" w:after="80"/>
      </w:pPr>
      <w:r>
        <w:rPr>
          <w:b/>
          <w:bCs/>
        </w:rPr>
        <w:t>J. Post-Appraisal Refusal to Engage</w:t>
      </w:r>
    </w:p>
    <w:p w14:paraId="7CEA9688" w14:textId="77777777" w:rsidR="009D356D" w:rsidRDefault="00000000">
      <w:pPr>
        <w:tabs>
          <w:tab w:val="left" w:pos="720"/>
        </w:tabs>
        <w:spacing w:after="120" w:line="480" w:lineRule="auto"/>
        <w:ind w:left="720" w:hanging="720"/>
      </w:pPr>
      <w:r>
        <w:lastRenderedPageBreak/>
        <w:t>36.</w:t>
      </w:r>
      <w:r>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4E9DCEF9" w14:textId="77777777" w:rsidR="009D356D" w:rsidRDefault="00000000">
      <w:pPr>
        <w:tabs>
          <w:tab w:val="left" w:pos="720"/>
        </w:tabs>
        <w:spacing w:after="120" w:line="480" w:lineRule="auto"/>
        <w:ind w:left="720" w:hanging="720"/>
      </w:pPr>
      <w:r>
        <w:t>37.</w:t>
      </w:r>
      <w:r>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w:t>
      </w:r>
      <w:r>
        <w:lastRenderedPageBreak/>
        <w:t>prior-payment rationale, that determination does not bind the Court, and coverage and amount of loss for the two previously unpaid, newly damaged sashes remain live questions for the Court.</w:t>
      </w:r>
    </w:p>
    <w:p w14:paraId="171A1222" w14:textId="77777777" w:rsidR="009D356D" w:rsidRDefault="00000000">
      <w:pPr>
        <w:tabs>
          <w:tab w:val="left" w:pos="720"/>
        </w:tabs>
        <w:spacing w:after="120" w:line="480" w:lineRule="auto"/>
        <w:ind w:left="720" w:hanging="720"/>
      </w:pPr>
      <w:r>
        <w:t>38.</w:t>
      </w:r>
      <w:r>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5E365680" w14:textId="77777777" w:rsidR="009D356D" w:rsidRDefault="00000000">
      <w:pPr>
        <w:tabs>
          <w:tab w:val="left" w:pos="720"/>
        </w:tabs>
        <w:spacing w:after="120" w:line="480" w:lineRule="auto"/>
        <w:ind w:left="720" w:hanging="720"/>
      </w:pPr>
      <w:r>
        <w:lastRenderedPageBreak/>
        <w:t>39.</w:t>
      </w:r>
      <w:r>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65A15686" w14:textId="77777777" w:rsidR="009D356D" w:rsidRDefault="00000000">
      <w:pPr>
        <w:tabs>
          <w:tab w:val="left" w:pos="720"/>
        </w:tabs>
        <w:spacing w:after="120" w:line="480" w:lineRule="auto"/>
        <w:ind w:left="720" w:hanging="720"/>
      </w:pPr>
      <w:r>
        <w:t>40.</w:t>
      </w:r>
      <w:r>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79812D57" w14:textId="77777777" w:rsidR="009D356D" w:rsidRDefault="00000000">
      <w:pPr>
        <w:spacing w:before="160" w:after="80"/>
      </w:pPr>
      <w:r>
        <w:rPr>
          <w:b/>
          <w:bCs/>
        </w:rPr>
        <w:t>K. Missing Investigation and Appraisal Records</w:t>
      </w:r>
    </w:p>
    <w:p w14:paraId="6BB55A90" w14:textId="77777777" w:rsidR="009D356D" w:rsidRDefault="00000000">
      <w:pPr>
        <w:tabs>
          <w:tab w:val="left" w:pos="720"/>
        </w:tabs>
        <w:spacing w:after="120" w:line="480" w:lineRule="auto"/>
        <w:ind w:left="720" w:hanging="720"/>
      </w:pPr>
      <w:r>
        <w:t>41.</w:t>
      </w:r>
      <w:r>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t>
      </w:r>
      <w:r>
        <w:lastRenderedPageBreak/>
        <w:t>windows or sashes were within the 2020 claim's scope, which Plaintiffs have repeatedly requested. Defendant is a regulated property insurer subject to the claim-file documentation requirements of Minn. Stat. § 72A.201, including Subdivision 9(3),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27603F2C" w14:textId="77777777" w:rsidR="009D356D" w:rsidRDefault="00000000">
      <w:pPr>
        <w:spacing w:before="160" w:after="80"/>
      </w:pPr>
      <w:r>
        <w:rPr>
          <w:b/>
          <w:bCs/>
        </w:rPr>
        <w:t>L. Manufacturer Discontinuation of the Insured Windows</w:t>
      </w:r>
    </w:p>
    <w:p w14:paraId="32645460" w14:textId="77777777" w:rsidR="009D356D" w:rsidRDefault="00000000">
      <w:pPr>
        <w:tabs>
          <w:tab w:val="left" w:pos="720"/>
        </w:tabs>
        <w:spacing w:after="120" w:line="480" w:lineRule="auto"/>
        <w:ind w:left="720" w:hanging="720"/>
      </w:pPr>
      <w:r>
        <w:t>42.</w:t>
      </w:r>
      <w:r>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4E05B519" w14:textId="77777777" w:rsidR="009D356D" w:rsidRDefault="00000000">
      <w:pPr>
        <w:tabs>
          <w:tab w:val="left" w:pos="720"/>
        </w:tabs>
        <w:spacing w:after="120" w:line="480" w:lineRule="auto"/>
        <w:ind w:left="720" w:hanging="720"/>
      </w:pPr>
      <w:r>
        <w:t>43.</w:t>
      </w:r>
      <w:r>
        <w:tab/>
        <w:t xml:space="preserve">Semco Windows and Doors ceased operations on December 31, 2019. Sierra Pacific Windows acquired Semco's operating assets in February 2020 and did not </w:t>
      </w:r>
      <w:r>
        <w:lastRenderedPageBreak/>
        <w:t>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4C017233" w14:textId="77777777" w:rsidR="009D356D" w:rsidRDefault="00000000">
      <w:pPr>
        <w:spacing w:before="240" w:after="120"/>
      </w:pPr>
      <w:r>
        <w:rPr>
          <w:b/>
          <w:bCs/>
        </w:rPr>
        <w:t>V. CONDITIONS PRECEDENT</w:t>
      </w:r>
    </w:p>
    <w:p w14:paraId="6E86DA81" w14:textId="77777777" w:rsidR="009D356D" w:rsidRDefault="00000000">
      <w:pPr>
        <w:tabs>
          <w:tab w:val="left" w:pos="720"/>
        </w:tabs>
        <w:spacing w:after="120" w:line="480" w:lineRule="auto"/>
        <w:ind w:left="720" w:hanging="720"/>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467967BF" w14:textId="77777777" w:rsidR="009D356D" w:rsidRDefault="00000000">
      <w:pPr>
        <w:spacing w:before="240" w:after="120"/>
      </w:pPr>
      <w:r>
        <w:rPr>
          <w:b/>
          <w:bCs/>
        </w:rPr>
        <w:t>VI. CAUSES OF ACTION</w:t>
      </w:r>
    </w:p>
    <w:p w14:paraId="3A8DDEFB" w14:textId="77777777" w:rsidR="009D356D" w:rsidRDefault="00000000">
      <w:pPr>
        <w:spacing w:before="280" w:after="160"/>
        <w:jc w:val="center"/>
      </w:pPr>
      <w:r>
        <w:rPr>
          <w:b/>
          <w:bCs/>
        </w:rPr>
        <w:t>COUNT I — BREACH OF CONTRACT</w:t>
      </w:r>
    </w:p>
    <w:p w14:paraId="6FB01FCB" w14:textId="77777777" w:rsidR="009D356D" w:rsidRDefault="00000000">
      <w:pPr>
        <w:tabs>
          <w:tab w:val="left" w:pos="720"/>
        </w:tabs>
        <w:spacing w:after="120" w:line="480" w:lineRule="auto"/>
        <w:ind w:left="720" w:hanging="720"/>
      </w:pPr>
      <w:r>
        <w:t>45.</w:t>
      </w:r>
      <w:r>
        <w:tab/>
        <w:t>Plaintiffs reallege and incorporate paragraphs 1 through 44 above.</w:t>
      </w:r>
    </w:p>
    <w:p w14:paraId="52C09C11" w14:textId="77777777" w:rsidR="009D356D" w:rsidRDefault="00000000">
      <w:pPr>
        <w:tabs>
          <w:tab w:val="left" w:pos="720"/>
        </w:tabs>
        <w:spacing w:after="120" w:line="480" w:lineRule="auto"/>
        <w:ind w:left="720" w:hanging="720"/>
      </w:pPr>
      <w:r>
        <w:t>46.</w:t>
      </w:r>
      <w:r>
        <w:tab/>
        <w:t>Policy 98055-49-65 is a valid and enforceable contract. The policy was in force on July 13, 2024.</w:t>
      </w:r>
    </w:p>
    <w:p w14:paraId="4230129D" w14:textId="77777777" w:rsidR="009D356D" w:rsidRDefault="00000000">
      <w:pPr>
        <w:tabs>
          <w:tab w:val="left" w:pos="720"/>
        </w:tabs>
        <w:spacing w:after="120" w:line="480" w:lineRule="auto"/>
        <w:ind w:left="720" w:hanging="720"/>
      </w:pPr>
      <w:r>
        <w:t>47.</w:t>
      </w:r>
      <w:r>
        <w:tab/>
        <w:t>Plaintiffs performed all conditions precedent.</w:t>
      </w:r>
    </w:p>
    <w:p w14:paraId="4946F417" w14:textId="77777777" w:rsidR="009D356D" w:rsidRDefault="00000000">
      <w:pPr>
        <w:tabs>
          <w:tab w:val="left" w:pos="720"/>
        </w:tabs>
        <w:spacing w:after="120" w:line="480" w:lineRule="auto"/>
        <w:ind w:left="720" w:hanging="720"/>
      </w:pPr>
      <w:r>
        <w:t>48.</w:t>
      </w:r>
      <w:r>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w:t>
      </w:r>
      <w:r>
        <w:lastRenderedPageBreak/>
        <w:t>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420EF524" w14:textId="77777777" w:rsidR="009D356D" w:rsidRDefault="00000000">
      <w:pPr>
        <w:tabs>
          <w:tab w:val="left" w:pos="720"/>
        </w:tabs>
        <w:spacing w:after="120" w:line="480" w:lineRule="auto"/>
        <w:ind w:left="720" w:hanging="720"/>
      </w:pPr>
      <w:r>
        <w:t>49.</w:t>
      </w:r>
      <w:r>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52DF374D" w14:textId="77777777" w:rsidR="009D356D" w:rsidRDefault="00000000">
      <w:pPr>
        <w:tabs>
          <w:tab w:val="left" w:pos="1440"/>
        </w:tabs>
        <w:spacing w:after="120" w:line="480" w:lineRule="auto"/>
        <w:ind w:left="1440" w:hanging="720"/>
      </w:pPr>
      <w:r>
        <w:t>(a)</w:t>
      </w:r>
      <w:r>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twenty-five distinct windows, plus a sliding door, on the home, including the upper-west three-unit bedroom window (photographs A-43 through A-46), the upper window above the main entry (photographs A-48 through A-50), the main-level window on the west side, </w:t>
      </w:r>
      <w:r>
        <w:lastRenderedPageBreak/>
        <w:t>south of the entry (photographs A-52 and A-55 through A-58, with a dent on the bottom frame at A-56), the upper-level bedroom window on the west side, south of the entry (photographs A-59 through A-65), the upper southeast-facing family room window (photographs A-106 and A-107; Prieve documents a dent with scrape marks in the frame at A-107),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w:t>
      </w:r>
      <w:r>
        <w:lastRenderedPageBreak/>
        <w:t xml:space="preserve">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t>
      </w:r>
      <w:r>
        <w:lastRenderedPageBreak/>
        <w:t>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58595AEA" w14:textId="77777777" w:rsidR="009D356D" w:rsidRDefault="00000000">
      <w:pPr>
        <w:tabs>
          <w:tab w:val="left" w:pos="1440"/>
        </w:tabs>
        <w:spacing w:after="120" w:line="480" w:lineRule="auto"/>
        <w:ind w:left="1440" w:hanging="720"/>
      </w:pPr>
      <w:r>
        <w:t>(b)</w:t>
      </w:r>
      <w:r>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w:t>
      </w:r>
      <w:r>
        <w:lastRenderedPageBreak/>
        <w:t>128, and A-129; and (iii) a dent with scrape mark in the screen of the sliding-door window at the east side of the deck — photographs A-136 and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701A9F5" w14:textId="77777777" w:rsidR="009D356D" w:rsidRDefault="00000000">
      <w:pPr>
        <w:tabs>
          <w:tab w:val="left" w:pos="720"/>
        </w:tabs>
        <w:spacing w:after="120" w:line="480" w:lineRule="auto"/>
        <w:ind w:left="720" w:hanging="720"/>
      </w:pPr>
      <w:r>
        <w:t>50.</w:t>
      </w:r>
      <w:r>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w:t>
      </w:r>
      <w:r>
        <w:lastRenderedPageBreak/>
        <w:t>it rests on any exclusion, cosmetic-damage, or other coverage rationale, is a coverage determination outside the panel's authority that this Court decides de novo.</w:t>
      </w:r>
    </w:p>
    <w:p w14:paraId="15E20BE0" w14:textId="77777777" w:rsidR="009D356D" w:rsidRDefault="00000000">
      <w:pPr>
        <w:tabs>
          <w:tab w:val="left" w:pos="720"/>
        </w:tabs>
        <w:spacing w:after="120" w:line="480" w:lineRule="auto"/>
        <w:ind w:left="720" w:hanging="720"/>
      </w:pPr>
      <w:r>
        <w:t>51.</w:t>
      </w:r>
      <w:r>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1BEE4B32" w14:textId="77777777" w:rsidR="009D356D" w:rsidRDefault="00000000">
      <w:pPr>
        <w:tabs>
          <w:tab w:val="left" w:pos="720"/>
        </w:tabs>
        <w:spacing w:after="120" w:line="480" w:lineRule="auto"/>
        <w:ind w:left="720" w:hanging="720"/>
      </w:pPr>
      <w:r>
        <w:lastRenderedPageBreak/>
        <w:t>52.</w:t>
      </w:r>
      <w:r>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FC78732" w14:textId="77777777" w:rsidR="009D356D" w:rsidRDefault="00000000">
      <w:pPr>
        <w:tabs>
          <w:tab w:val="left" w:pos="720"/>
        </w:tabs>
        <w:spacing w:after="120" w:line="480" w:lineRule="auto"/>
        <w:ind w:left="720" w:hanging="720"/>
      </w:pPr>
      <w:r>
        <w:t>53.</w:t>
      </w:r>
      <w:r>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w:t>
      </w:r>
      <w:r>
        <w:lastRenderedPageBreak/>
        <w:t xml:space="preserve">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w:t>
      </w:r>
      <w:r>
        <w:lastRenderedPageBreak/>
        <w:t>September 6, 2024 inspection; and by declining to identify any claim deadline in response to Plaintiffs' direct written inquiry of July 10, 2025.</w:t>
      </w:r>
    </w:p>
    <w:p w14:paraId="449A4E53" w14:textId="77777777" w:rsidR="009D356D" w:rsidRDefault="00000000">
      <w:pPr>
        <w:tabs>
          <w:tab w:val="left" w:pos="720"/>
        </w:tabs>
        <w:spacing w:after="120" w:line="480" w:lineRule="auto"/>
        <w:ind w:left="720" w:hanging="720"/>
      </w:pPr>
      <w:r>
        <w:t>54.</w:t>
      </w:r>
      <w:r>
        <w:tab/>
        <w:t>As a direct and proximate result of Defendant's breach, Plaintiffs have suffered damages in excess of $50,000.</w:t>
      </w:r>
    </w:p>
    <w:p w14:paraId="6EBB92BA" w14:textId="77777777" w:rsidR="009D356D" w:rsidRDefault="00000000">
      <w:pPr>
        <w:spacing w:before="280" w:after="160"/>
        <w:jc w:val="center"/>
      </w:pPr>
      <w:r>
        <w:rPr>
          <w:b/>
          <w:bCs/>
        </w:rPr>
        <w:t>COUNT II — DECLARATORY JUDGMENT (Minn. Stat. Ch. 555)</w:t>
      </w:r>
    </w:p>
    <w:p w14:paraId="2CF8DBD6" w14:textId="77777777" w:rsidR="009D356D" w:rsidRDefault="00000000">
      <w:pPr>
        <w:tabs>
          <w:tab w:val="left" w:pos="720"/>
        </w:tabs>
        <w:spacing w:after="120" w:line="480" w:lineRule="auto"/>
        <w:ind w:left="720" w:hanging="720"/>
      </w:pPr>
      <w:r>
        <w:t>55.</w:t>
      </w:r>
      <w:r>
        <w:tab/>
        <w:t>Plaintiffs reallege and incorporate paragraphs 1 through 54 above.</w:t>
      </w:r>
    </w:p>
    <w:p w14:paraId="62167ABB" w14:textId="77777777" w:rsidR="009D356D" w:rsidRDefault="00000000">
      <w:pPr>
        <w:tabs>
          <w:tab w:val="left" w:pos="720"/>
        </w:tabs>
        <w:spacing w:after="120" w:line="480" w:lineRule="auto"/>
        <w:ind w:left="720" w:hanging="720"/>
      </w:pPr>
      <w:r>
        <w:t>56.</w:t>
      </w:r>
      <w:r>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136F378C" w14:textId="77777777" w:rsidR="009D356D" w:rsidRDefault="00000000">
      <w:pPr>
        <w:tabs>
          <w:tab w:val="left" w:pos="720"/>
        </w:tabs>
        <w:spacing w:after="120" w:line="480" w:lineRule="auto"/>
        <w:ind w:left="720" w:hanging="720"/>
      </w:pPr>
      <w:r>
        <w:t>57.</w:t>
      </w:r>
      <w:r>
        <w:tab/>
        <w:t>Plaintiffs request a judicial declaration, pursuant to Minn. Stat. §§ 555.01–.16, that:</w:t>
      </w:r>
    </w:p>
    <w:p w14:paraId="2CB2A0A5" w14:textId="77777777" w:rsidR="009D356D" w:rsidRDefault="00000000">
      <w:pPr>
        <w:tabs>
          <w:tab w:val="left" w:pos="1440"/>
        </w:tabs>
        <w:spacing w:after="120" w:line="480" w:lineRule="auto"/>
        <w:ind w:left="1440" w:hanging="720"/>
      </w:pPr>
      <w:r>
        <w:t>(a)</w:t>
      </w:r>
      <w:r>
        <w:tab/>
        <w:t>The July 13, 2024 hail loss is a covered loss under Section I (Loss or Damage Insured) of Policy 98055-49-65, subject only to the $17,720 windstorm/hail deductible.</w:t>
      </w:r>
    </w:p>
    <w:p w14:paraId="5BC9A8EA" w14:textId="77777777" w:rsidR="009D356D" w:rsidRDefault="00000000">
      <w:pPr>
        <w:tabs>
          <w:tab w:val="left" w:pos="1440"/>
        </w:tabs>
        <w:spacing w:after="120" w:line="480" w:lineRule="auto"/>
        <w:ind w:left="1440" w:hanging="720"/>
      </w:pPr>
      <w:r>
        <w:t>(b)</w:t>
      </w:r>
      <w:r>
        <w:tab/>
        <w:t xml:space="preserve">Defendant is precluded under </w:t>
      </w:r>
      <w:r>
        <w:rPr>
          <w:i/>
          <w:iCs/>
        </w:rPr>
        <w:t>Quade v. Secura Insurance</w:t>
      </w:r>
      <w:r>
        <w:t xml:space="preserve">, 814 N.W.2d 703 (Minn. 2012), and the binding effect of the September 12, 2025 appraisal award from asserting that the windows identified by codes “F1.7” and “B1.2” were damaged by wear and tear, marring, corrosion, deterioration, </w:t>
      </w:r>
      <w:r>
        <w:lastRenderedPageBreak/>
        <w:t>decay, rust, inherent vice, latent defect, neglect, lack of maintenance, or faulty or defective construction.</w:t>
      </w:r>
    </w:p>
    <w:p w14:paraId="62620414" w14:textId="77777777" w:rsidR="009D356D" w:rsidRDefault="00000000">
      <w:pPr>
        <w:tabs>
          <w:tab w:val="left" w:pos="1440"/>
        </w:tabs>
        <w:spacing w:after="120" w:line="480" w:lineRule="auto"/>
        <w:ind w:left="1440" w:hanging="720"/>
      </w:pPr>
      <w:r>
        <w:t>(c)</w:t>
      </w:r>
      <w:r>
        <w:tab/>
        <w:t>The September 12, 2025 award did not resolve coverage as to hail-damaged windows the panel did not evaluate. The question of coverage and amount of loss for each such window remains a live coverage question for the Court.</w:t>
      </w:r>
    </w:p>
    <w:p w14:paraId="654362C2" w14:textId="77777777" w:rsidR="009D356D" w:rsidRDefault="00000000">
      <w:pPr>
        <w:tabs>
          <w:tab w:val="left" w:pos="1440"/>
        </w:tabs>
        <w:spacing w:after="120" w:line="480" w:lineRule="auto"/>
        <w:ind w:left="1440" w:hanging="720"/>
      </w:pPr>
      <w:r>
        <w:t>(d)</w:t>
      </w:r>
      <w:r>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6530911A" w14:textId="77777777" w:rsidR="009D356D" w:rsidRDefault="00000000">
      <w:pPr>
        <w:tabs>
          <w:tab w:val="left" w:pos="1440"/>
        </w:tabs>
        <w:spacing w:after="120" w:line="480" w:lineRule="auto"/>
        <w:ind w:left="1440" w:hanging="720"/>
      </w:pPr>
      <w:r>
        <w:t>(e)</w:t>
      </w:r>
      <w:r>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w:t>
      </w:r>
      <w:r>
        <w:lastRenderedPageBreak/>
        <w:t xml:space="preserve">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133B907A" w14:textId="77777777" w:rsidR="009D356D" w:rsidRDefault="00000000">
      <w:pPr>
        <w:tabs>
          <w:tab w:val="left" w:pos="1440"/>
        </w:tabs>
        <w:spacing w:after="120" w:line="480" w:lineRule="auto"/>
        <w:ind w:left="1440" w:hanging="720"/>
      </w:pPr>
      <w:r>
        <w:t>(f)</w:t>
      </w:r>
      <w:r>
        <w:tab/>
        <w:t>With respect to the windows the September 12, 2025 appraisal award evaluated, Defendant is bound by the panel's hail-causation finding and may not reassert in this action the exclusions cited in its November 4, 2024 denial as to those windows.</w:t>
      </w:r>
    </w:p>
    <w:p w14:paraId="6F225FB9" w14:textId="77777777" w:rsidR="009D356D" w:rsidRDefault="00000000">
      <w:pPr>
        <w:tabs>
          <w:tab w:val="left" w:pos="1440"/>
        </w:tabs>
        <w:spacing w:after="120" w:line="480" w:lineRule="auto"/>
        <w:ind w:left="1440" w:hanging="720"/>
      </w:pPr>
      <w:r>
        <w:t>(g)</w:t>
      </w:r>
      <w:r>
        <w:tab/>
        <w:t xml:space="preserve">The two-year suit-limitation period stated in the policy's Section I — Property Conditions governs this action, both because it is the limitation period the parties' contract expressly adopts and because Defendant has waived and is estopped from asserting any shorter period by the conduct described in paragraphs 28–29 above. Plaintiffs' homeowner's policy is written on the standard fire-policy form, which carries the two-year suit-limitation period of Minn. Stat. § 65A.01, Subd. 3. To the extent Minn. Stat. § 65A.26 or any endorsement is asserted to impose a shorter, one-year </w:t>
      </w:r>
      <w:r>
        <w:lastRenderedPageBreak/>
        <w:t>hail suit-limitation period, that period does not apply, because § 65A.26 by its terms and placement (the separate “HAIL INSURANCE” heading of chapter 65A) governs standalone hail policies rather than a multi-peril homeowner's policy taking the § 65A.01 form; and in any event Defendant has waived and is estopped from asserting it.</w:t>
      </w:r>
    </w:p>
    <w:p w14:paraId="14BF4062" w14:textId="77777777" w:rsidR="009D356D" w:rsidRDefault="00000000">
      <w:pPr>
        <w:tabs>
          <w:tab w:val="left" w:pos="1440"/>
        </w:tabs>
        <w:spacing w:after="120" w:line="480" w:lineRule="auto"/>
        <w:ind w:left="1440" w:hanging="720"/>
      </w:pPr>
      <w:r>
        <w:t>(h)</w:t>
      </w:r>
      <w:r>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0815B2F7" w14:textId="77777777" w:rsidR="009D356D" w:rsidRDefault="00000000">
      <w:pPr>
        <w:tabs>
          <w:tab w:val="left" w:pos="1440"/>
        </w:tabs>
        <w:spacing w:after="120" w:line="480" w:lineRule="auto"/>
        <w:ind w:left="1440" w:hanging="720"/>
      </w:pPr>
      <w:r>
        <w:t>(i)</w:t>
      </w:r>
      <w:r>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437F6C85" w14:textId="77777777" w:rsidR="009D356D" w:rsidRDefault="00000000">
      <w:pPr>
        <w:tabs>
          <w:tab w:val="left" w:pos="1440"/>
        </w:tabs>
        <w:spacing w:after="120" w:line="480" w:lineRule="auto"/>
        <w:ind w:left="1440" w:hanging="720"/>
      </w:pPr>
      <w:r>
        <w:t>(j)</w:t>
      </w:r>
      <w:r>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w:t>
      </w:r>
      <w:r>
        <w:lastRenderedPageBreak/>
        <w:t>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0A730C67" w14:textId="77777777" w:rsidR="009D356D" w:rsidRDefault="00000000">
      <w:pPr>
        <w:tabs>
          <w:tab w:val="left" w:pos="720"/>
        </w:tabs>
        <w:spacing w:after="120" w:line="480" w:lineRule="auto"/>
        <w:ind w:left="720" w:hanging="720"/>
      </w:pPr>
      <w:r>
        <w:t>58.</w:t>
      </w:r>
      <w:r>
        <w:tab/>
        <w:t>The requested declarations will substantially terminate the controversy between the parties as required by Minn. Stat. § 555.06.</w:t>
      </w:r>
    </w:p>
    <w:p w14:paraId="7AAF75F9"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384DD841" w14:textId="77777777" w:rsidR="009D356D" w:rsidRDefault="00000000">
      <w:pPr>
        <w:tabs>
          <w:tab w:val="left" w:pos="720"/>
        </w:tabs>
        <w:spacing w:after="120" w:line="480" w:lineRule="auto"/>
        <w:ind w:left="720" w:hanging="720"/>
      </w:pPr>
      <w:r>
        <w:t>59.</w:t>
      </w:r>
      <w:r>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1D6E06C3" w14:textId="77777777" w:rsidR="009D356D" w:rsidRDefault="00000000">
      <w:pPr>
        <w:tabs>
          <w:tab w:val="left" w:pos="720"/>
        </w:tabs>
        <w:spacing w:after="120" w:line="480" w:lineRule="auto"/>
        <w:ind w:left="720" w:hanging="720"/>
      </w:pPr>
      <w:r>
        <w:t>60.</w:t>
      </w:r>
      <w:r>
        <w:tab/>
        <w:t xml:space="preserve">Minn. Stat. § 65A.01, Subd. 3 requires the appraisers to “appraise the loss, stating separately actual value and loss to each item,” and provides that “an award in writing, </w:t>
      </w:r>
      <w:r>
        <w:rPr>
          <w:b/>
          <w:bCs/>
        </w:rPr>
        <w:t>so itemized</w:t>
      </w:r>
      <w:r>
        <w:t xml:space="preserve">,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w:t>
      </w:r>
      <w:r>
        <w:lastRenderedPageBreak/>
        <w:t>The award does not state actual value and loss separately to each item, and is not “so itemized” within the meaning of the statute.</w:t>
      </w:r>
    </w:p>
    <w:p w14:paraId="210635D1" w14:textId="77777777" w:rsidR="009D356D" w:rsidRDefault="00000000">
      <w:pPr>
        <w:tabs>
          <w:tab w:val="left" w:pos="720"/>
        </w:tabs>
        <w:spacing w:after="120" w:line="480" w:lineRule="auto"/>
        <w:ind w:left="720" w:hanging="720"/>
      </w:pPr>
      <w:r>
        <w:t>61.</w:t>
      </w:r>
      <w:r>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64B57A4" w14:textId="77777777" w:rsidR="009D356D" w:rsidRDefault="00000000">
      <w:pPr>
        <w:tabs>
          <w:tab w:val="left" w:pos="720"/>
        </w:tabs>
        <w:spacing w:after="120" w:line="480" w:lineRule="auto"/>
        <w:ind w:left="720" w:hanging="720"/>
      </w:pPr>
      <w:r>
        <w:t>62.</w:t>
      </w:r>
      <w:r>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w:t>
      </w:r>
      <w:r>
        <w:lastRenderedPageBreak/>
        <w:t>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136DD159" w14:textId="77777777" w:rsidR="009D356D" w:rsidRDefault="00000000">
      <w:pPr>
        <w:tabs>
          <w:tab w:val="left" w:pos="720"/>
        </w:tabs>
        <w:spacing w:after="120" w:line="480" w:lineRule="auto"/>
        <w:ind w:left="720" w:hanging="720"/>
      </w:pPr>
      <w:r>
        <w:t>63.</w:t>
      </w:r>
      <w:r>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814 N.W.2d 703 (Minn. 2012). Plaintiffs do not contend the award is void; they contend it is a partial determination that binds as to what it itemized and decided, and is non-preclusive as to everything it did not.</w:t>
      </w:r>
    </w:p>
    <w:p w14:paraId="77050198" w14:textId="77777777" w:rsidR="009D356D" w:rsidRDefault="00000000">
      <w:pPr>
        <w:tabs>
          <w:tab w:val="left" w:pos="720"/>
        </w:tabs>
        <w:spacing w:after="120" w:line="480" w:lineRule="auto"/>
        <w:ind w:left="720" w:hanging="720"/>
      </w:pPr>
      <w:r>
        <w:t>64.</w:t>
      </w:r>
      <w:r>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161B2240" w14:textId="77777777" w:rsidR="009D356D" w:rsidRDefault="00000000">
      <w:pPr>
        <w:tabs>
          <w:tab w:val="left" w:pos="720"/>
        </w:tabs>
        <w:spacing w:after="120" w:line="480" w:lineRule="auto"/>
        <w:ind w:left="720" w:hanging="720"/>
      </w:pPr>
      <w:r>
        <w:t>65.</w:t>
      </w:r>
      <w:r>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w:t>
      </w:r>
      <w:r>
        <w:lastRenderedPageBreak/>
        <w:t xml:space="preserve">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29FDB8A9" w14:textId="77777777" w:rsidR="009D356D" w:rsidRDefault="00000000">
      <w:pPr>
        <w:tabs>
          <w:tab w:val="left" w:pos="1440"/>
        </w:tabs>
        <w:spacing w:after="120" w:line="480" w:lineRule="auto"/>
        <w:ind w:left="1440" w:hanging="720"/>
      </w:pPr>
      <w:r>
        <w:t>(a)</w:t>
      </w:r>
      <w:r>
        <w:tab/>
        <w:t>identify each window or item within the scope of the panel's evaluation by location, elevation, sash count, and manufacturer stamp;</w:t>
      </w:r>
    </w:p>
    <w:p w14:paraId="05A1E2D8" w14:textId="77777777" w:rsidR="009D356D" w:rsidRDefault="00000000">
      <w:pPr>
        <w:tabs>
          <w:tab w:val="left" w:pos="1440"/>
        </w:tabs>
        <w:spacing w:after="120" w:line="480" w:lineRule="auto"/>
        <w:ind w:left="1440" w:hanging="720"/>
      </w:pPr>
      <w:r>
        <w:t>(b)</w:t>
      </w:r>
      <w:r>
        <w:tab/>
        <w:t>state separately the actual cash value and replacement cost value attributable to each such window or item, and, for any multi-sash window, to each sash;</w:t>
      </w:r>
    </w:p>
    <w:p w14:paraId="2E883BD5" w14:textId="77777777" w:rsidR="009D356D" w:rsidRDefault="00000000">
      <w:pPr>
        <w:tabs>
          <w:tab w:val="left" w:pos="1440"/>
        </w:tabs>
        <w:spacing w:after="120" w:line="480" w:lineRule="auto"/>
        <w:ind w:left="1440" w:hanging="720"/>
      </w:pPr>
      <w:r>
        <w:t>(c)</w:t>
      </w:r>
      <w:r>
        <w:tab/>
        <w:t>identify any window or item Plaintiffs submitted for appraisal that the panel did not evaluate, with a brief statement of the reason;</w:t>
      </w:r>
    </w:p>
    <w:p w14:paraId="3B6C192B" w14:textId="77777777" w:rsidR="009D356D" w:rsidRDefault="00000000">
      <w:pPr>
        <w:tabs>
          <w:tab w:val="left" w:pos="1440"/>
        </w:tabs>
        <w:spacing w:after="120" w:line="480" w:lineRule="auto"/>
        <w:ind w:left="1440" w:hanging="720"/>
      </w:pPr>
      <w:r>
        <w:t>(d)</w:t>
      </w:r>
      <w:r>
        <w:tab/>
        <w:t xml:space="preserve">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w:t>
      </w:r>
      <w:r>
        <w:lastRenderedPageBreak/>
        <w:t>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3D0E68B4" w14:textId="77777777" w:rsidR="009D356D" w:rsidRDefault="00000000">
      <w:pPr>
        <w:tabs>
          <w:tab w:val="left" w:pos="1440"/>
        </w:tabs>
        <w:spacing w:after="120" w:line="480" w:lineRule="auto"/>
        <w:ind w:left="1440" w:hanging="720"/>
      </w:pPr>
      <w:r>
        <w:t>(e)</w:t>
      </w:r>
      <w:r>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6CD39250" w14:textId="77777777" w:rsidR="009D356D" w:rsidRDefault="00000000">
      <w:pPr>
        <w:tabs>
          <w:tab w:val="left" w:pos="720"/>
        </w:tabs>
        <w:spacing w:after="120" w:line="480" w:lineRule="auto"/>
        <w:ind w:left="720" w:hanging="720"/>
      </w:pPr>
      <w:r>
        <w:t>66.</w:t>
      </w:r>
      <w:r>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0BA0E780" w14:textId="77777777" w:rsidR="009D356D" w:rsidRDefault="00000000">
      <w:pPr>
        <w:spacing w:before="280" w:after="160"/>
        <w:jc w:val="center"/>
      </w:pPr>
      <w:r>
        <w:rPr>
          <w:b/>
          <w:bCs/>
        </w:rPr>
        <w:t>COUNT IV — MINNESOTA CONSUMER FRAUD ACT (Minn. Stat. § 325F.69, enforced through Minn. Stat. § 325F.70, subd. 3 and § 8.31, Subd. 3a)</w:t>
      </w:r>
    </w:p>
    <w:p w14:paraId="36DDC449" w14:textId="77777777" w:rsidR="009D356D" w:rsidRDefault="00000000">
      <w:pPr>
        <w:tabs>
          <w:tab w:val="left" w:pos="720"/>
        </w:tabs>
        <w:spacing w:after="120" w:line="480" w:lineRule="auto"/>
        <w:ind w:left="720" w:hanging="720"/>
      </w:pPr>
      <w:r>
        <w:t>67.</w:t>
      </w:r>
      <w:r>
        <w:tab/>
        <w:t>Plaintiffs reallege and incorporate paragraphs 1 through 66 above.</w:t>
      </w:r>
    </w:p>
    <w:p w14:paraId="74BFF37E" w14:textId="77777777" w:rsidR="009D356D" w:rsidRDefault="00000000">
      <w:pPr>
        <w:tabs>
          <w:tab w:val="left" w:pos="720"/>
        </w:tabs>
        <w:spacing w:after="120" w:line="480" w:lineRule="auto"/>
        <w:ind w:left="720" w:hanging="720"/>
      </w:pPr>
      <w:r>
        <w:lastRenderedPageBreak/>
        <w:t>68.</w:t>
      </w:r>
      <w:r>
        <w:tab/>
        <w:t>Defendant engaged in a course of misrepresentation, misleading statements, deceptive practices, and unfair or unconscionable practices in violation of Minn. Stat. § 325F.69, Subd. 1, in connection with the sale and renewal of homeowner's insurance Policy 98055-49-65 to Plaintiffs for personal, family, and household purposes.</w:t>
      </w:r>
    </w:p>
    <w:p w14:paraId="02ED13DA" w14:textId="77777777" w:rsidR="009D356D" w:rsidRDefault="00000000">
      <w:pPr>
        <w:tabs>
          <w:tab w:val="left" w:pos="720"/>
        </w:tabs>
        <w:spacing w:after="120" w:line="480" w:lineRule="auto"/>
        <w:ind w:left="720" w:hanging="720"/>
      </w:pPr>
      <w:r>
        <w:t>69.</w:t>
      </w:r>
      <w:r>
        <w:tab/>
        <w:t>The prohibited conduct includes, without limitation:</w:t>
      </w:r>
    </w:p>
    <w:p w14:paraId="5C1F3509" w14:textId="77777777" w:rsidR="009D356D" w:rsidRDefault="00000000">
      <w:pPr>
        <w:tabs>
          <w:tab w:val="left" w:pos="1440"/>
        </w:tabs>
        <w:spacing w:after="120" w:line="480" w:lineRule="auto"/>
        <w:ind w:left="1440" w:hanging="720"/>
      </w:pPr>
      <w:r>
        <w:t>a.</w:t>
      </w:r>
      <w:r>
        <w:tab/>
        <w:t>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344285DF" w14:textId="77777777" w:rsidR="009D356D" w:rsidRDefault="00000000">
      <w:pPr>
        <w:tabs>
          <w:tab w:val="left" w:pos="1440"/>
        </w:tabs>
        <w:spacing w:after="120" w:line="480" w:lineRule="auto"/>
        <w:ind w:left="1440" w:hanging="720"/>
      </w:pPr>
      <w:r>
        <w:t>b.</w:t>
      </w:r>
      <w:r>
        <w:tab/>
        <w:t xml:space="preserve">The November 4, 2024 written denial's adoption and transmission of the Prieve Engineering report's representation that “the most recent hail in Eden Prairie reported in 2020,” objectively disprovable on public records before </w:t>
      </w:r>
      <w:r>
        <w:lastRenderedPageBreak/>
        <w:t>the denial issued and directly contradicted by Defendant's own September 12, 2025 appraisal award;</w:t>
      </w:r>
    </w:p>
    <w:p w14:paraId="77168032" w14:textId="77777777" w:rsidR="009D356D" w:rsidRDefault="00000000">
      <w:pPr>
        <w:tabs>
          <w:tab w:val="left" w:pos="1440"/>
        </w:tabs>
        <w:spacing w:after="120" w:line="480" w:lineRule="auto"/>
        <w:ind w:left="1440" w:hanging="720"/>
      </w:pPr>
      <w:r>
        <w:t>c.</w:t>
      </w:r>
      <w:r>
        <w:tab/>
        <w:t>The supervisor- and adjuster-level imposition in February 2025 of an “engineer's report only” evidentiary gate found nowhere in Policy 98055-49-65, used to reject Plaintiffs' supplemental evidence without review;</w:t>
      </w:r>
    </w:p>
    <w:p w14:paraId="3540E33E" w14:textId="77777777" w:rsidR="009D356D" w:rsidRDefault="00000000">
      <w:pPr>
        <w:tabs>
          <w:tab w:val="left" w:pos="1440"/>
        </w:tabs>
        <w:spacing w:after="120" w:line="480" w:lineRule="auto"/>
        <w:ind w:left="1440" w:hanging="720"/>
      </w:pPr>
      <w:r>
        <w:t>d.</w:t>
      </w:r>
      <w:r>
        <w:tab/>
        <w:t>The September 18, 2025, September 19, 2025, and October 14, 2025 mutually inconsistent written descriptions of the September 12, 2025 award's scope;</w:t>
      </w:r>
    </w:p>
    <w:p w14:paraId="155A9CB7" w14:textId="77777777" w:rsidR="009D356D" w:rsidRDefault="00000000">
      <w:pPr>
        <w:tabs>
          <w:tab w:val="left" w:pos="1440"/>
        </w:tabs>
        <w:spacing w:after="120" w:line="480" w:lineRule="auto"/>
        <w:ind w:left="1440" w:hanging="720"/>
      </w:pPr>
      <w:r>
        <w:t>e.</w:t>
      </w:r>
      <w:r>
        <w:tab/>
        <w:t>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503ACE21" w14:textId="77777777" w:rsidR="009D356D" w:rsidRDefault="00000000">
      <w:pPr>
        <w:tabs>
          <w:tab w:val="left" w:pos="1440"/>
        </w:tabs>
        <w:spacing w:after="120" w:line="480" w:lineRule="auto"/>
        <w:ind w:left="1440" w:hanging="720"/>
      </w:pPr>
      <w:r>
        <w:t>f.</w:t>
      </w:r>
      <w:r>
        <w:tab/>
        <w:t>The September 19, 2025 attribution of the entire front dining-room window's damage to “the prior claim,” when, on information and belief, only one of that three-sash window's sashes was within the 2020 claim payment;</w:t>
      </w:r>
    </w:p>
    <w:p w14:paraId="7B02A3EC" w14:textId="77777777" w:rsidR="009D356D" w:rsidRDefault="00000000">
      <w:pPr>
        <w:tabs>
          <w:tab w:val="left" w:pos="1440"/>
        </w:tabs>
        <w:spacing w:after="120" w:line="480" w:lineRule="auto"/>
        <w:ind w:left="1440" w:hanging="720"/>
      </w:pPr>
      <w:r>
        <w:t>g.</w:t>
      </w:r>
      <w:r>
        <w:tab/>
        <w:t xml:space="preserve">The scoping of the Prieve Engineering engagement to “windows only” — excluding the siding, downspout, flashing, and door components Plaintiffs had reported — followed by Defendant's use of the resulting report as the </w:t>
      </w:r>
      <w:r>
        <w:lastRenderedPageBreak/>
        <w:t>basis for denying the entire claim, without disclosing the report's stated scope limitation to Plaintiffs as a limit on what the denial could rest on; and</w:t>
      </w:r>
    </w:p>
    <w:p w14:paraId="2F579011" w14:textId="77777777" w:rsidR="009D356D" w:rsidRDefault="00000000">
      <w:pPr>
        <w:tabs>
          <w:tab w:val="left" w:pos="1440"/>
        </w:tabs>
        <w:spacing w:after="120" w:line="480" w:lineRule="auto"/>
        <w:ind w:left="1440" w:hanging="720"/>
      </w:pPr>
      <w:r>
        <w:t>h.</w:t>
      </w:r>
      <w:r>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4D3EB544" w14:textId="77777777" w:rsidR="009D356D" w:rsidRDefault="00000000">
      <w:pPr>
        <w:tabs>
          <w:tab w:val="left" w:pos="720"/>
        </w:tabs>
        <w:spacing w:after="120" w:line="480" w:lineRule="auto"/>
        <w:ind w:left="720" w:hanging="720"/>
      </w:pPr>
      <w:r>
        <w:t>70.</w:t>
      </w:r>
      <w:r>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79BCCA6A" w14:textId="77777777" w:rsidR="009D356D" w:rsidRDefault="00000000">
      <w:pPr>
        <w:tabs>
          <w:tab w:val="left" w:pos="720"/>
        </w:tabs>
        <w:spacing w:after="120" w:line="480" w:lineRule="auto"/>
        <w:ind w:left="720" w:hanging="720"/>
      </w:pPr>
      <w:r>
        <w:t>71.</w:t>
      </w:r>
      <w:r>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xml:space="preserve">, 621 N.W.2d 2, 13–15 (Minn. 2001), Defendant's prohibited conduct caused Plaintiffs pecuniary damages, including without limitation: (a) Plaintiffs' out-of-pocket share of the appraiser retainer </w:t>
      </w:r>
      <w:r>
        <w:lastRenderedPageBreak/>
        <w:t>($1,100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5AAE471B" w14:textId="77777777" w:rsidR="009D356D" w:rsidRDefault="00000000">
      <w:pPr>
        <w:tabs>
          <w:tab w:val="left" w:pos="720"/>
        </w:tabs>
        <w:spacing w:after="120" w:line="480" w:lineRule="auto"/>
        <w:ind w:left="720" w:hanging="720"/>
      </w:pPr>
      <w:r>
        <w:t>72.</w:t>
      </w:r>
      <w:r>
        <w:tab/>
      </w:r>
      <w:r>
        <w:rPr>
          <w:b/>
          <w:bCs/>
        </w:rPr>
        <w:t>Public benefit.</w:t>
      </w:r>
      <w:r>
        <w:t xml:space="preserve"> Plaintiffs' action concerns merchandise purchased for “personal, family, [and] household” purposes within the meaning of Minn. Stat. § 325F.70, subd. 3, and pursuant to the express terms of that subdivision,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AEAC7B9" w14:textId="77777777" w:rsidR="009D356D" w:rsidRDefault="00000000">
      <w:pPr>
        <w:tabs>
          <w:tab w:val="left" w:pos="720"/>
        </w:tabs>
        <w:spacing w:after="120" w:line="480" w:lineRule="auto"/>
        <w:ind w:left="720" w:hanging="720"/>
      </w:pPr>
      <w:r>
        <w:lastRenderedPageBreak/>
        <w:t>73.</w:t>
      </w:r>
      <w:r>
        <w:tab/>
        <w:t>As a direct and proximate result of Defendant's violations of Minn. Stat. § 325F.69, Plaintiffs are entitled to recover damages, costs, disbursements, costs of investigation, and reasonable attorney fees pursuant to Minn. Stat. § 325F.70, subd. 3 and, in the alternative, Minn. Stat. § 8.31, Subd. 3a.</w:t>
      </w:r>
    </w:p>
    <w:p w14:paraId="4BFCFA25" w14:textId="77777777" w:rsidR="009D356D" w:rsidRDefault="00000000">
      <w:pPr>
        <w:spacing w:before="240" w:after="120"/>
      </w:pPr>
      <w:r>
        <w:rPr>
          <w:b/>
          <w:bCs/>
        </w:rPr>
        <w:t>VII. PRAYER FOR RELIEF</w:t>
      </w:r>
    </w:p>
    <w:p w14:paraId="43153389" w14:textId="77777777" w:rsidR="009D356D" w:rsidRDefault="00000000">
      <w:pPr>
        <w:spacing w:after="120" w:line="480" w:lineRule="auto"/>
      </w:pPr>
      <w:r>
        <w:t>WHEREFORE, Plaintiffs respectfully request that the Court enter judgment in their favor and against Defendant Fire Insurance Exchange and award:</w:t>
      </w:r>
    </w:p>
    <w:p w14:paraId="1F66DD4C" w14:textId="77777777" w:rsidR="009D356D" w:rsidRDefault="00000000">
      <w:pPr>
        <w:tabs>
          <w:tab w:val="left" w:pos="720"/>
        </w:tabs>
        <w:spacing w:after="120" w:line="480" w:lineRule="auto"/>
        <w:ind w:left="720" w:hanging="720"/>
      </w:pPr>
      <w:r>
        <w:rPr>
          <w:b/>
          <w:bCs/>
        </w:rPr>
        <w:t>A.</w:t>
      </w:r>
      <w:r>
        <w:rPr>
          <w:b/>
          <w:bCs/>
        </w:rPr>
        <w:tab/>
        <w:t>On Count I (Breach of Contract):</w:t>
      </w:r>
      <w:r>
        <w:t xml:space="preserve"> Compensatory damages in excess of $50,000, in an amount to be proven at trial.</w:t>
      </w:r>
    </w:p>
    <w:p w14:paraId="48446DDF" w14:textId="77777777" w:rsidR="009D356D" w:rsidRDefault="00000000">
      <w:pPr>
        <w:tabs>
          <w:tab w:val="left" w:pos="720"/>
        </w:tabs>
        <w:spacing w:after="120" w:line="480" w:lineRule="auto"/>
        <w:ind w:left="720" w:hanging="720"/>
      </w:pPr>
      <w:r>
        <w:rPr>
          <w:b/>
          <w:bCs/>
        </w:rPr>
        <w:t>B.</w:t>
      </w:r>
      <w:r>
        <w:rPr>
          <w:b/>
          <w:bCs/>
        </w:rPr>
        <w:tab/>
        <w:t>On Count II (Declaratory Judgment):</w:t>
      </w:r>
      <w:r>
        <w:t xml:space="preserve"> A declaratory judgment in the form set forth in paragraph 57 above, together with such supplemental relief as is necessary or proper under Minn. Stat. § 555.08.</w:t>
      </w:r>
    </w:p>
    <w:p w14:paraId="0437E5DF" w14:textId="77777777" w:rsidR="009D356D" w:rsidRDefault="00000000">
      <w:pPr>
        <w:tabs>
          <w:tab w:val="left" w:pos="720"/>
        </w:tabs>
        <w:spacing w:after="120" w:line="480" w:lineRule="auto"/>
        <w:ind w:left="720" w:hanging="720"/>
      </w:pPr>
      <w:r>
        <w:rPr>
          <w:b/>
          <w:bCs/>
        </w:rPr>
        <w:t>C.</w:t>
      </w:r>
      <w:r>
        <w:rPr>
          <w:b/>
          <w:bCs/>
        </w:rPr>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w:t>
      </w:r>
      <w:r>
        <w:lastRenderedPageBreak/>
        <w:t xml:space="preserve">above; or, in the final alternative, an order vacating the award under </w:t>
      </w:r>
      <w:r>
        <w:rPr>
          <w:i/>
          <w:iCs/>
        </w:rPr>
        <w:t>Mork v. Eureka-Security Fire &amp; Marine Insurance Co.</w:t>
      </w:r>
    </w:p>
    <w:p w14:paraId="6F7A5807" w14:textId="77777777" w:rsidR="009D356D" w:rsidRDefault="00000000">
      <w:pPr>
        <w:tabs>
          <w:tab w:val="left" w:pos="720"/>
        </w:tabs>
        <w:spacing w:after="120" w:line="480" w:lineRule="auto"/>
        <w:ind w:left="720" w:hanging="720"/>
      </w:pPr>
      <w:r>
        <w:rPr>
          <w:b/>
          <w:bCs/>
        </w:rPr>
        <w:t>D.</w:t>
      </w:r>
      <w:r>
        <w:rPr>
          <w:b/>
          <w:bCs/>
        </w:rPr>
        <w:tab/>
        <w:t>On Count IV (Minnesota Consumer Fraud Act):</w:t>
      </w:r>
      <w:r>
        <w:t xml:space="preserve"> Compensatory damages, costs and disbursements (including costs of investigation), and reasonable attorney fees pursuant to Minn. Stat. § 325F.70, subd. 3 and, in the alternative, Minn. Stat. § 8.31, Subd. 3a.</w:t>
      </w:r>
    </w:p>
    <w:p w14:paraId="438FF157" w14:textId="77777777" w:rsidR="009D356D" w:rsidRDefault="00000000">
      <w:pPr>
        <w:tabs>
          <w:tab w:val="left" w:pos="720"/>
        </w:tabs>
        <w:spacing w:after="120" w:line="480" w:lineRule="auto"/>
        <w:ind w:left="720" w:hanging="720"/>
      </w:pPr>
      <w:r>
        <w:rPr>
          <w:b/>
          <w:bCs/>
        </w:rPr>
        <w:t>E.</w:t>
      </w:r>
      <w:r>
        <w:rPr>
          <w:b/>
          <w:bCs/>
        </w:rPr>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042A668F" w14:textId="77777777" w:rsidR="009D356D" w:rsidRDefault="00000000">
      <w:pPr>
        <w:tabs>
          <w:tab w:val="left" w:pos="720"/>
        </w:tabs>
        <w:spacing w:after="120" w:line="480" w:lineRule="auto"/>
        <w:ind w:left="720" w:hanging="720"/>
      </w:pPr>
      <w:r>
        <w:rPr>
          <w:b/>
          <w:bCs/>
        </w:rPr>
        <w:t>F.</w:t>
      </w:r>
      <w:r>
        <w:rPr>
          <w:b/>
          <w:bCs/>
        </w:rPr>
        <w:tab/>
        <w:t>Postjudgment interest</w:t>
      </w:r>
      <w:r>
        <w:t xml:space="preserve"> under Minn. Stat. § 549.09, Subd. 2 (verdict-to-judgment interest under Subd. 1(a) and continuing accrual under Subd. 2, at the rate set by Subd. 1(c)).</w:t>
      </w:r>
    </w:p>
    <w:p w14:paraId="69AD2828" w14:textId="77777777" w:rsidR="009D356D" w:rsidRDefault="00000000">
      <w:pPr>
        <w:tabs>
          <w:tab w:val="left" w:pos="720"/>
        </w:tabs>
        <w:spacing w:after="120" w:line="480" w:lineRule="auto"/>
        <w:ind w:left="720" w:hanging="720"/>
      </w:pPr>
      <w:r>
        <w:rPr>
          <w:b/>
          <w:bCs/>
        </w:rPr>
        <w:t>G.</w:t>
      </w:r>
      <w:r>
        <w:rPr>
          <w:b/>
          <w:bCs/>
        </w:rPr>
        <w:tab/>
        <w:t>Costs and disbursements</w:t>
      </w:r>
      <w:r>
        <w:t xml:space="preserve"> under Minn. Stat. §§ 549.02 and 549.04.</w:t>
      </w:r>
    </w:p>
    <w:p w14:paraId="32EA66D1" w14:textId="77777777" w:rsidR="009D356D" w:rsidRDefault="00000000">
      <w:pPr>
        <w:tabs>
          <w:tab w:val="left" w:pos="720"/>
        </w:tabs>
        <w:spacing w:after="120" w:line="480" w:lineRule="auto"/>
        <w:ind w:left="720" w:hanging="720"/>
      </w:pPr>
      <w:r>
        <w:rPr>
          <w:b/>
          <w:bCs/>
        </w:rPr>
        <w:t>H.</w:t>
      </w:r>
      <w:r>
        <w:rPr>
          <w:b/>
          <w:bCs/>
        </w:rPr>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6577230F" w14:textId="77777777" w:rsidR="009D356D" w:rsidRDefault="00000000">
      <w:pPr>
        <w:spacing w:before="240" w:after="120"/>
      </w:pPr>
      <w:r>
        <w:rPr>
          <w:b/>
          <w:bCs/>
        </w:rPr>
        <w:t>VIII. DEMAND FOR JURY TRIAL</w:t>
      </w:r>
    </w:p>
    <w:p w14:paraId="2688ED10" w14:textId="77777777" w:rsidR="009D356D" w:rsidRDefault="00000000">
      <w:pPr>
        <w:spacing w:after="120" w:line="480" w:lineRule="auto"/>
      </w:pPr>
      <w:r>
        <w:t>Plaintiffs demand a trial by jury on all issues so triable.</w:t>
      </w:r>
    </w:p>
    <w:p w14:paraId="6DFB46E4" w14:textId="77777777" w:rsidR="009D356D" w:rsidRDefault="00000000">
      <w:pPr>
        <w:spacing w:before="240" w:after="120"/>
      </w:pPr>
      <w:r>
        <w:rPr>
          <w:b/>
          <w:bCs/>
        </w:rPr>
        <w:lastRenderedPageBreak/>
        <w:t>IX. ACKNOWLEDGMENT</w:t>
      </w:r>
    </w:p>
    <w:p w14:paraId="5BDB8EFD" w14:textId="77777777" w:rsidR="009D356D" w:rsidRDefault="00000000" w:rsidP="006E5D0A">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096AFC" w14:textId="77777777" w:rsidR="009D356D" w:rsidRDefault="00000000" w:rsidP="00AC0AFE">
      <w:pPr>
        <w:tabs>
          <w:tab w:val="left" w:pos="720"/>
        </w:tabs>
        <w:ind w:left="720" w:hanging="720"/>
      </w:pPr>
      <w:r>
        <w:t>1.</w:t>
      </w:r>
      <w:r>
        <w:tab/>
        <w:t>The information included in this Complaint is based on facts and supported by existing law.</w:t>
      </w:r>
    </w:p>
    <w:p w14:paraId="315A0EAE" w14:textId="77777777" w:rsidR="009D356D" w:rsidRDefault="00000000" w:rsidP="00AC0AFE">
      <w:pPr>
        <w:tabs>
          <w:tab w:val="left" w:pos="720"/>
        </w:tabs>
        <w:ind w:left="720" w:hanging="720"/>
      </w:pPr>
      <w:r>
        <w:t>2.</w:t>
      </w:r>
      <w:r>
        <w:tab/>
        <w:t>Plaintiffs are not presenting this Complaint for any improper purpose. Plaintiffs are not using it to:</w:t>
      </w:r>
    </w:p>
    <w:p w14:paraId="66F1E779" w14:textId="77777777" w:rsidR="009D356D" w:rsidRDefault="00000000" w:rsidP="00AC0AFE">
      <w:pPr>
        <w:tabs>
          <w:tab w:val="left" w:pos="1440"/>
        </w:tabs>
        <w:ind w:left="1440" w:hanging="720"/>
      </w:pPr>
      <w:r>
        <w:t>a.</w:t>
      </w:r>
      <w:r>
        <w:tab/>
        <w:t>harass anyone;</w:t>
      </w:r>
    </w:p>
    <w:p w14:paraId="694A0AFC" w14:textId="77777777" w:rsidR="009D356D" w:rsidRDefault="00000000" w:rsidP="00AC0AFE">
      <w:pPr>
        <w:tabs>
          <w:tab w:val="left" w:pos="1440"/>
        </w:tabs>
        <w:ind w:left="1440" w:hanging="720"/>
      </w:pPr>
      <w:r>
        <w:t>b.</w:t>
      </w:r>
      <w:r>
        <w:tab/>
        <w:t>cause unnecessary delay in the case; or</w:t>
      </w:r>
    </w:p>
    <w:p w14:paraId="58945351" w14:textId="77777777" w:rsidR="009D356D" w:rsidRDefault="00000000" w:rsidP="00AC0AFE">
      <w:pPr>
        <w:tabs>
          <w:tab w:val="left" w:pos="1440"/>
        </w:tabs>
        <w:ind w:left="1440" w:hanging="720"/>
      </w:pPr>
      <w:r>
        <w:t>c.</w:t>
      </w:r>
      <w:r>
        <w:tab/>
        <w:t>needlessly increase the cost of litigation.</w:t>
      </w:r>
    </w:p>
    <w:p w14:paraId="4D4D283C" w14:textId="77777777" w:rsidR="009D356D" w:rsidRDefault="00000000" w:rsidP="00AC0AFE">
      <w:pPr>
        <w:tabs>
          <w:tab w:val="left" w:pos="720"/>
        </w:tabs>
        <w:ind w:left="720" w:hanging="720"/>
      </w:pPr>
      <w:r>
        <w:t>3.</w:t>
      </w:r>
      <w:r>
        <w:tab/>
        <w:t>No judicial officer has said either Plaintiff is a frivolous litigant.</w:t>
      </w:r>
    </w:p>
    <w:p w14:paraId="240D6F86" w14:textId="77777777" w:rsidR="009D356D" w:rsidRDefault="00000000" w:rsidP="00AC0AFE">
      <w:pPr>
        <w:tabs>
          <w:tab w:val="left" w:pos="720"/>
        </w:tabs>
        <w:ind w:left="720" w:hanging="720"/>
      </w:pPr>
      <w:r>
        <w:t>4.</w:t>
      </w:r>
      <w:r>
        <w:tab/>
        <w:t>There is no court order preventing Plaintiffs from serving or filing this Complaint.</w:t>
      </w:r>
    </w:p>
    <w:p w14:paraId="327C2679" w14:textId="77777777" w:rsidR="009D356D" w:rsidRDefault="00000000" w:rsidP="00AC0AFE">
      <w:pPr>
        <w:tabs>
          <w:tab w:val="left" w:pos="720"/>
        </w:tabs>
        <w:ind w:left="720" w:hanging="720"/>
      </w:pPr>
      <w:r>
        <w:t>5.</w:t>
      </w:r>
      <w:r>
        <w:tab/>
        <w:t>This Complaint does not contain any “restricted identifiers” or confidential information as defined in Rule 11 of the General Rules of Practice or the Rules of Public Access to Records of the Judicial Branch.</w:t>
      </w:r>
    </w:p>
    <w:p w14:paraId="5FDCABAC" w14:textId="77777777" w:rsidR="009D356D" w:rsidRDefault="00000000" w:rsidP="00AC0AFE">
      <w:pPr>
        <w:tabs>
          <w:tab w:val="left" w:pos="720"/>
        </w:tabs>
        <w:ind w:left="720" w:hanging="720"/>
      </w:pPr>
      <w:r>
        <w:t>6.</w:t>
      </w:r>
      <w:r>
        <w:tab/>
        <w:t>If Plaintiffs need to file restricted identifiers, confidential information, or a confidential document, they will use Form 11.1 and/or Form 11.2, as required by Rule 11.</w:t>
      </w:r>
    </w:p>
    <w:p w14:paraId="2FB2DCC6" w14:textId="77777777" w:rsidR="009D356D" w:rsidRDefault="00000000">
      <w:pPr>
        <w:spacing w:before="240" w:after="120"/>
      </w:pPr>
      <w:r>
        <w:rPr>
          <w:b/>
          <w:bCs/>
        </w:rPr>
        <w:t>X. SIGNATURE</w:t>
      </w:r>
    </w:p>
    <w:p w14:paraId="7BCC51FF" w14:textId="77777777" w:rsidR="009D356D" w:rsidRDefault="00000000">
      <w:r>
        <w:t>Dated: __________________, 2026.</w:t>
      </w:r>
    </w:p>
    <w:p w14:paraId="68729B12" w14:textId="77777777" w:rsidR="009D356D" w:rsidRDefault="009D356D"/>
    <w:p w14:paraId="0FB3EFE9" w14:textId="77777777" w:rsidR="009D356D" w:rsidRDefault="009D356D"/>
    <w:p w14:paraId="0507867B" w14:textId="77777777" w:rsidR="009D356D" w:rsidRDefault="00000000">
      <w:r>
        <w:t>____________________________________</w:t>
      </w:r>
    </w:p>
    <w:p w14:paraId="0CBEBF14" w14:textId="77777777" w:rsidR="009D356D" w:rsidRDefault="00000000">
      <w:r>
        <w:t>Yibiao Lu, Plaintiff pro se</w:t>
      </w:r>
    </w:p>
    <w:p w14:paraId="0CB5240E" w14:textId="77777777" w:rsidR="009D356D" w:rsidRDefault="00000000">
      <w:r>
        <w:t>17756 George Moran Dr.</w:t>
      </w:r>
    </w:p>
    <w:p w14:paraId="1C34F2FF" w14:textId="77777777" w:rsidR="009D356D" w:rsidRDefault="00000000">
      <w:r>
        <w:t>Eden Prairie, MN 55347</w:t>
      </w:r>
    </w:p>
    <w:p w14:paraId="365AE62C" w14:textId="77777777" w:rsidR="009D356D" w:rsidRDefault="00000000">
      <w:r>
        <w:t>Telephone: ______________________</w:t>
      </w:r>
    </w:p>
    <w:p w14:paraId="583CEF0A" w14:textId="77777777" w:rsidR="009D356D" w:rsidRDefault="00000000">
      <w:r>
        <w:t>Email: __________________________</w:t>
      </w:r>
    </w:p>
    <w:p w14:paraId="34AB304B" w14:textId="77777777" w:rsidR="009D356D" w:rsidRDefault="009D356D"/>
    <w:p w14:paraId="26688909" w14:textId="77777777" w:rsidR="009D356D" w:rsidRDefault="009D356D"/>
    <w:p w14:paraId="135DE54E" w14:textId="77777777" w:rsidR="009D356D" w:rsidRDefault="00000000">
      <w:r>
        <w:t>____________________________________</w:t>
      </w:r>
    </w:p>
    <w:p w14:paraId="14329C4F" w14:textId="77777777" w:rsidR="009D356D" w:rsidRDefault="00000000">
      <w:r>
        <w:t>Jie Hu, Plaintiff pro se</w:t>
      </w:r>
    </w:p>
    <w:p w14:paraId="74A3344D" w14:textId="77777777" w:rsidR="009D356D" w:rsidRDefault="00000000">
      <w:r>
        <w:t>17756 George Moran Dr.</w:t>
      </w:r>
    </w:p>
    <w:p w14:paraId="341A5141" w14:textId="77777777" w:rsidR="009D356D" w:rsidRDefault="00000000">
      <w:r>
        <w:t>Eden Prairie, MN 55347</w:t>
      </w:r>
    </w:p>
    <w:p w14:paraId="70ABF803" w14:textId="77777777" w:rsidR="009D356D" w:rsidRDefault="00000000">
      <w:r>
        <w:t>Telephone: ______________________</w:t>
      </w:r>
    </w:p>
    <w:p w14:paraId="10567D49"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149FE" w14:textId="77777777" w:rsidR="00D5570B" w:rsidRDefault="00D5570B">
      <w:r>
        <w:separator/>
      </w:r>
    </w:p>
  </w:endnote>
  <w:endnote w:type="continuationSeparator" w:id="0">
    <w:p w14:paraId="4850271C" w14:textId="77777777" w:rsidR="00D5570B" w:rsidRDefault="00D55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09986"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96DD1" w14:textId="77777777" w:rsidR="00D5570B" w:rsidRDefault="00D5570B">
      <w:r>
        <w:separator/>
      </w:r>
    </w:p>
  </w:footnote>
  <w:footnote w:type="continuationSeparator" w:id="0">
    <w:p w14:paraId="4490A820" w14:textId="77777777" w:rsidR="00D5570B" w:rsidRDefault="00D55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36E3E"/>
    <w:rsid w:val="002901AB"/>
    <w:rsid w:val="003920A7"/>
    <w:rsid w:val="005256A0"/>
    <w:rsid w:val="006E5D0A"/>
    <w:rsid w:val="00855093"/>
    <w:rsid w:val="009636EC"/>
    <w:rsid w:val="009D356D"/>
    <w:rsid w:val="00A15D75"/>
    <w:rsid w:val="00A36096"/>
    <w:rsid w:val="00AC0AFE"/>
    <w:rsid w:val="00B044A3"/>
    <w:rsid w:val="00B43F97"/>
    <w:rsid w:val="00C07483"/>
    <w:rsid w:val="00C71B3A"/>
    <w:rsid w:val="00D5570B"/>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EE10F99"/>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758</TotalTime>
  <Pages>46</Pages>
  <Words>10621</Words>
  <Characters>57888</Characters>
  <Application>Microsoft Office Word</Application>
  <DocSecurity>0</DocSecurity>
  <Lines>1015</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13</cp:revision>
  <dcterms:created xsi:type="dcterms:W3CDTF">2026-06-27T11:36:00Z</dcterms:created>
  <dcterms:modified xsi:type="dcterms:W3CDTF">2026-06-29T02:55:00Z</dcterms:modified>
</cp:coreProperties>
</file>