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888888"/>
          <w:sz w:val="18"/>
          <w:szCs w:val="18"/>
        </w:rPr>
        <w:t xml:space="preserve">PRIVILEGED &amp; CONFIDENTIAL — ATTORNEY WORK PRODUCT / SELF-REPRESENTED LITIGANT WORK FILE</w:t>
      </w:r>
    </w:p>
    <w:p>
      <w:pPr>
        <w:spacing w:after="40"/>
        <w:jc w:val="center"/>
      </w:pPr>
      <w:r>
        <w:rPr>
          <w:b/>
          <w:bCs/>
          <w:sz w:val="36"/>
          <w:szCs w:val="36"/>
        </w:rPr>
        <w:t xml:space="preserve">LEGAL-BASIS VERIFICATION MEMO</w:t>
      </w:r>
    </w:p>
    <w:p>
      <w:pPr>
        <w:spacing w:after="200"/>
        <w:jc w:val="center"/>
      </w:pPr>
      <w:r>
        <w:rPr>
          <w:sz w:val="24"/>
          <w:szCs w:val="24"/>
        </w:rPr>
        <w:t xml:space="preserve">Complaint — Lu &amp; Hu v. Fire Insurance Exchange (Final, 2026-06-28)</w:t>
      </w:r>
    </w:p>
    <w:p>
      <w:pPr>
        <w:spacing w:after="120"/>
      </w:pPr>
      <w:r>
        <w:rPr>
          <w:b/>
          <w:bCs/>
        </w:rPr>
        <w:t xml:space="preserve">Re: </w:t>
      </w:r>
      <w:r>
        <w:t xml:space="preserve">Independent verification of every statutory and case-law authority cited in the Complaint.</w:t>
      </w:r>
    </w:p>
    <w:p>
      <w:pPr>
        <w:spacing w:after="120"/>
      </w:pPr>
      <w:r>
        <w:rPr>
          <w:b/>
          <w:bCs/>
        </w:rPr>
        <w:t xml:space="preserve">Date: </w:t>
      </w:r>
      <w:r>
        <w:t xml:space="preserve">June 28, 2026</w:t>
      </w:r>
    </w:p>
    <w:p>
      <w:pPr>
        <w:spacing w:after="120"/>
      </w:pPr>
      <w:r>
        <w:rPr>
          <w:b/>
          <w:bCs/>
        </w:rPr>
        <w:t xml:space="preserve">Method: </w:t>
      </w:r>
      <w:r>
        <w:t xml:space="preserve">Each authority checked against the Minnesota Revisor of Statutes (revisor.mn.gov, 2025 edition) and primary case text (Minnesota appellate opinions, 8th Circuit, D. Minn.). Confirmed (1) citation accuracy, (2) that the authority supports the proposition it is cited for, and (3) that it remains good law.</w:t>
      </w:r>
    </w:p>
    <w:p>
      <w:pPr>
        <w:pStyle w:val="Heading1"/>
      </w:pPr>
      <w:r>
        <w:t xml:space="preserve">Bottom line</w:t>
      </w:r>
    </w:p>
    <w:p>
      <w:pPr>
        <w:spacing w:after="120"/>
      </w:pPr>
      <w:r>
        <w:t xml:space="preserve">The legal architecture of the Complaint is sound and the large majority of its authorities are cited accurately and for the correct propositions. The core appraisal framework (Quade causation-vs-coverage, the § 65A.01 itemization command, Herll/Rymer clarification-remand, Mork vacatur), the coverage and interest authorities (Cedar Bluff, Hammer, Atwater Creamery, Poehler), and the jurisdiction/venue/procedure citations all check out.</w:t>
      </w:r>
    </w:p>
    <w:p>
      <w:pPr>
        <w:spacing w:after="120"/>
      </w:pPr>
      <w:r>
        <w:t xml:space="preserve">Verification surfaced </w:t>
      </w:r>
      <w:r>
        <w:rPr>
          <w:b/>
          <w:bCs/>
        </w:rPr>
        <w:t xml:space="preserve">one citation error to correct, one high-stakes timeliness issue to make sure is fully shored up, and a handful of precision fixes and substantive vulnerabilities worth addressing before filing.</w:t>
      </w:r>
      <w:r>
        <w:t xml:space="preserve"> None is fatal, but the first two below should be handled deliberately.</w:t>
      </w:r>
    </w:p>
    <w:p>
      <w:pPr>
        <w:pStyle w:val="Heading1"/>
      </w:pPr>
      <w:r>
        <w:t xml:space="preserve">Priority items</w:t>
      </w:r>
    </w:p>
    <w:p>
      <w:pPr>
        <w:pStyle w:val="Heading2"/>
      </w:pPr>
      <w:r>
        <w:t xml:space="preserve">1. HIGH — The one-year hail suit-limitation in Minn. Stat. § 65A.26</w:t>
      </w:r>
    </w:p>
    <w:p>
      <w:pPr>
        <w:spacing w:after="120"/>
      </w:pPr>
      <w:r>
        <w:rPr>
          <w:b/>
          <w:bCs/>
        </w:rPr>
        <w:t xml:space="preserve">What's accurate: </w:t>
      </w:r>
      <w:r>
        <w:t xml:space="preserve">The Complaint's treatment of § 65A.26 as a potentially shorter limitation period (¶¶29, 57(g)) is factually correct. Verified directly against the statute: § 65A.26 (“HAIL INSURANCE, POLICIES, LOSS ADJUSTMENT”) requires every hail policy to provide that “no suit for the recovery of any claim by virtue of this policy may be sustained unless commenced within one year after the loss occurred.”</w:t>
      </w:r>
    </w:p>
    <w:p>
      <w:pPr>
        <w:spacing w:after="120"/>
      </w:pPr>
      <w:r>
        <w:rPr>
          <w:b/>
          <w:bCs/>
        </w:rPr>
        <w:t xml:space="preserve">Why it matters: </w:t>
      </w:r>
      <w:r>
        <w:t xml:space="preserve">The loss date is July 13, 2024; this Complaint is being filed in 2026. If a court holds that § 65A.26's one-year clause governs this hail claim, the entire action is exposed to a limitations defense. This is the single largest legal risk in the case, and it is a question of the legal basis for timeliness — exactly what this review targets.</w:t>
      </w:r>
    </w:p>
    <w:p>
      <w:pPr>
        <w:spacing w:after="120"/>
      </w:pPr>
      <w:r>
        <w:rPr>
          <w:b/>
          <w:bCs/>
        </w:rPr>
        <w:t xml:space="preserve">Assessment of the Complaint's response: </w:t>
      </w:r>
      <w:r>
        <w:t xml:space="preserve">The Complaint already anticipates the defense through three layers: (a) the policy's own two-year Section I property-conditions clause controls; (b) any shorter text is superseded by the § 65A.01 standard-fire-policy two-year limitation; and (c) waiver/estoppel from Defendant's conduct (¶¶28–29). That is a sensible, layered defense. Two cautions on the legal basis:</w:t>
      </w:r>
    </w:p>
    <w:p>
      <w:pPr>
        <w:pStyle w:val="ListParagraph"/>
        <w:numPr>
          <w:ilvl w:val="0"/>
          <w:numId w:val="2"/>
        </w:numPr>
        <w:spacing w:after="80"/>
      </w:pPr>
      <w:r>
        <w:rPr>
          <w:b/>
          <w:bCs/>
        </w:rPr>
        <w:t xml:space="preserve">The “supersession” theory is the weakest leg. </w:t>
      </w:r>
      <w:r>
        <w:t xml:space="preserve">§ 65A.01 (two-year) and § 65A.26 (one-year) are parallel statutes for different policy types; § 65A.01 does not on its face “supersede” § 65A.26. The stronger framing is that a multi-peril homeowner's policy is a standard-fire-policy form governed by § 65A.01's two-year clause, and that the policy's own express two-year term controls — not that one statute overrides the other.</w:t>
      </w:r>
    </w:p>
    <w:p>
      <w:pPr>
        <w:pStyle w:val="ListParagraph"/>
        <w:numPr>
          <w:ilvl w:val="0"/>
          <w:numId w:val="2"/>
        </w:numPr>
        <w:spacing w:after="80"/>
      </w:pPr>
      <w:r>
        <w:rPr>
          <w:b/>
          <w:bCs/>
        </w:rPr>
        <w:t xml:space="preserve">Lead with the policy term + waiver/estoppel. </w:t>
      </w:r>
      <w:r>
        <w:t xml:space="preserve">The most defensible bases are (i) the policy's actual two-year clause and (ii) the detailed waiver/estoppel facts in ¶¶28–29 (Defendant never asserted any shorter deadline, answered the direct July 10, 2025 deadline inquiry with boilerplate, and then fully participated in appraisal through September 2025). Consider making waiver/estoppel the primary, not alternative, argument.</w:t>
      </w:r>
    </w:p>
    <w:p>
      <w:pPr>
        <w:spacing w:after="120"/>
      </w:pPr>
      <w:r>
        <w:rPr>
          <w:b/>
          <w:bCs/>
        </w:rPr>
        <w:t xml:space="preserve">Recommendation: </w:t>
      </w:r>
      <w:r>
        <w:t xml:space="preserve">Keep the § 65A.26 citation (it is accurate), but reframe ¶57(g) so the two-year period rests primarily on the policy's express terms and on waiver/estoppel, with statutory supersession as a secondary point. Confirm the policy form's actual suit-limitation language against the HomePolicy documents.</w:t>
      </w:r>
    </w:p>
    <w:p>
      <w:pPr>
        <w:pStyle w:val="Heading2"/>
      </w:pPr>
      <w:r>
        <w:t xml:space="preserve">2. FIX — Wrong subdivision for the claim-file duty (Minn. Stat. § 72A.201)</w:t>
      </w:r>
    </w:p>
    <w:p>
      <w:pPr>
        <w:spacing w:after="120"/>
      </w:pPr>
      <w:r>
        <w:rPr>
          <w:b/>
          <w:bCs/>
        </w:rPr>
        <w:t xml:space="preserve">The error: </w:t>
      </w:r>
      <w:r>
        <w:t xml:space="preserve">Paragraph 41 cites “Minn. Stat. § 72A.201 … Subdivision 3(3)” for the duty to keep all communications, notes, and work papers in the claim file. Verified directly: Subd. 3 is the “Definitions” subdivision, and Subd. 3(3) merely defines “Claim.” The claim-file/work-papers duty the Complaint quotes is in </w:t>
      </w:r>
      <w:r>
        <w:rPr>
          <w:b/>
          <w:bCs/>
        </w:rPr>
        <w:t xml:space="preserve">Subd. 9(3)</w:t>
      </w:r>
      <w:r>
        <w:t xml:space="preserve"> (“Standards for communications with department”). The quoted language matches Subd. 9(3) verbatim.</w:t>
      </w:r>
    </w:p>
    <w:p>
      <w:pPr>
        <w:spacing w:after="120"/>
      </w:pPr>
      <w:r>
        <w:rPr>
          <w:b/>
          <w:bCs/>
        </w:rPr>
        <w:t xml:space="preserve">Fix: </w:t>
      </w:r>
      <w:r>
        <w:t xml:space="preserve">Change “Subdivision 3(3)” to “Subdivision 9(3)” in ¶41.</w:t>
      </w:r>
    </w:p>
    <w:p>
      <w:pPr>
        <w:spacing w:after="120"/>
      </w:pPr>
      <w:r>
        <w:rPr>
          <w:b/>
          <w:bCs/>
        </w:rPr>
        <w:t xml:space="preserve">Related caution (not an error): </w:t>
      </w:r>
      <w:r>
        <w:t xml:space="preserve">Minnesota does not recognize a private cause of action for Chapter 72A claims-practice violations (enforcement is administrative; see Morris v. American Family, 386 N.W.2d 233 (Minn. 1986)), and § 72A.201, subd. 1 says no individual violation counts as an unfair practice “for purposes of section 8.31.” The Complaint uses § 72A.201 correctly — only as a records-preservation duty supporting the Rule 37 / adverse-inference request, not as a standalone claim or as a CFA predicate. Keep it framed that way.</w:t>
      </w:r>
    </w:p>
    <w:p>
      <w:pPr>
        <w:pStyle w:val="Heading1"/>
      </w:pPr>
      <w:r>
        <w:t xml:space="preserve">Precision fixes (minor)</w:t>
      </w:r>
    </w:p>
    <w:p>
      <w:pPr>
        <w:pStyle w:val="ListParagraph"/>
        <w:numPr>
          <w:ilvl w:val="0"/>
          <w:numId w:val="2"/>
        </w:numPr>
        <w:spacing w:after="80"/>
      </w:pPr>
      <w:r>
        <w:rPr>
          <w:b/>
          <w:bCs/>
        </w:rPr>
        <w:t xml:space="preserve">§ 549.09 postjudgment interest (Prayer ¶F). </w:t>
      </w:r>
      <w:r>
        <w:t xml:space="preserve">The Complaint cites “Subd. 1(a)” for postjudgment interest. Subd. 1(a) is verdict-to-judgment interest; ongoing post-judgment accrual is governed by Subd. 2 (rate set in Subd. 1(c) for awards over $50,000). Tighten the cite to reference Subd. 2 for true postjudgment accrual.</w:t>
      </w:r>
    </w:p>
    <w:p>
      <w:pPr>
        <w:pStyle w:val="ListParagraph"/>
        <w:numPr>
          <w:ilvl w:val="0"/>
          <w:numId w:val="2"/>
        </w:numPr>
        <w:spacing w:after="80"/>
      </w:pPr>
      <w:r>
        <w:rPr>
          <w:b/>
          <w:bCs/>
        </w:rPr>
        <w:t xml:space="preserve">§ 325F.69, subd. 1 wording (¶68). </w:t>
      </w:r>
      <w:r>
        <w:t xml:space="preserve">The prohibition was broadened in 2023 to add “unfair or unconscionable practice.” The Complaint paraphrases rather than misquotes, so this is not an error — but tracking the current statutory text only helps.</w:t>
      </w:r>
    </w:p>
    <w:p>
      <w:pPr>
        <w:pStyle w:val="ListParagraph"/>
        <w:numPr>
          <w:ilvl w:val="0"/>
          <w:numId w:val="2"/>
        </w:numPr>
        <w:spacing w:after="80"/>
      </w:pPr>
      <w:r>
        <w:rPr>
          <w:b/>
          <w:bCs/>
        </w:rPr>
        <w:t xml:space="preserve">§ 325F.70 private remedy (Counts IV / Prayer). </w:t>
      </w:r>
      <w:r>
        <w:t xml:space="preserve">Since 2023, the consumer private right of action lives specifically in § 325F.70, subd. 3, which expressly declares that “an action brought under this section benefits the public.” Pin-cite subd. 3 rather than § 325F.70 generally — it is the stronger, public-benefit-built-in path (see vulnerability #1 below). Continue pleading § 8.31, subd. 3a in the alternative as the Complaint already does.</w:t>
      </w:r>
    </w:p>
    <w:p>
      <w:pPr>
        <w:pStyle w:val="ListParagraph"/>
        <w:numPr>
          <w:ilvl w:val="0"/>
          <w:numId w:val="2"/>
        </w:numPr>
        <w:spacing w:after="80"/>
      </w:pPr>
      <w:r>
        <w:rPr>
          <w:b/>
          <w:bCs/>
        </w:rPr>
        <w:t xml:space="preserve">Cincinnati Ins. Co. v. Rymer Cos. (¶¶65, 147). </w:t>
      </w:r>
      <w:r>
        <w:t xml:space="preserve">Verified the March 27, 2026 8th Circuit decision exists and supports clarification-remand of an appraisal award under Minnesota law. It had no published F.4th/N.W.3d reporter cite yet as of this review; citing it as “No. 24-3356 (8th Cir. Mar. 27, 2026)” is correct. Do not confuse it with the earlier, unrelated Rymer appeal, 41 F.4th 1026 (8th Cir. 2022).</w:t>
      </w:r>
    </w:p>
    <w:p>
      <w:pPr>
        <w:pStyle w:val="ListParagraph"/>
        <w:numPr>
          <w:ilvl w:val="0"/>
          <w:numId w:val="2"/>
        </w:numPr>
        <w:spacing w:after="80"/>
      </w:pPr>
      <w:r>
        <w:rPr>
          <w:b/>
          <w:bCs/>
        </w:rPr>
        <w:t xml:space="preserve">Force v. ITT Hartford pinpoint (¶70). </w:t>
      </w:r>
      <w:r>
        <w:t xml:space="preserve">Citation and proposition (insurance is “merchandise” under the CFA) verified, but the pinpoint page 858 could not be confirmed on free sources — confirm against Westlaw/Lexis. Note Force is a non-binding D. Minn. decision (persuasive only), so do not lean on it as controlling.</w:t>
      </w:r>
    </w:p>
    <w:p>
      <w:pPr>
        <w:pStyle w:val="Heading1"/>
      </w:pPr>
      <w:r>
        <w:t xml:space="preserve">Substantive vulnerabilities (legal basis is accurate, but exposed)</w:t>
      </w:r>
    </w:p>
    <w:p>
      <w:pPr>
        <w:pStyle w:val="ListParagraph"/>
        <w:numPr>
          <w:ilvl w:val="0"/>
          <w:numId w:val="2"/>
        </w:numPr>
        <w:spacing w:after="80"/>
      </w:pPr>
      <w:r>
        <w:rPr>
          <w:b/>
          <w:bCs/>
        </w:rPr>
        <w:t xml:space="preserve">Public-benefit requirement — Ly v. Nystrom, 615 N.W.2d 302 (Minn. 2000). </w:t>
      </w:r>
      <w:r>
        <w:t xml:space="preserve">A single-family insurance dispute pursued through § 8.31, subd. 3a is vulnerable to dismissal/fee-denial because a one-off, individualized transaction may not “benefit the public.” Mitigation: lead the CFA claim through § 325F.70, subd. 3 (statutory public-benefit declaration, enacted 2023), and keep marshaling the “institutional practice” facts in ¶72 (the “engineer's report only” rule, “windows only” scoping) to show a pattern affecting other policyholders. The Complaint already does both — make sure the § 325F.70 subd. 3 anchor is explicit.</w:t>
      </w:r>
    </w:p>
    <w:p>
      <w:pPr>
        <w:pStyle w:val="ListParagraph"/>
        <w:numPr>
          <w:ilvl w:val="0"/>
          <w:numId w:val="2"/>
        </w:numPr>
        <w:spacing w:after="80"/>
      </w:pPr>
      <w:r>
        <w:rPr>
          <w:b/>
          <w:bCs/>
        </w:rPr>
        <w:t xml:space="preserve">§ 604.18 reservation (¶¶8, 152, Prayer ¶H). </w:t>
      </w:r>
      <w:r>
        <w:t xml:space="preserve">Procedure is handled correctly — § 604.18 recovery must be sought by post-pleading motion under subd. 4(a), and the Complaint properly reserves rather than pleads it. Caution: subd. 4(c) bars taxable costs “in any claim that is resolved or confirmed by … appraisal.” Because this loss ran through appraisal, expect Defendant to invoke subd. 4(c). Preserve the argument that the contract claim extends well beyond what the appraisal resolved.</w:t>
      </w:r>
    </w:p>
    <w:p>
      <w:pPr>
        <w:pStyle w:val="ListParagraph"/>
        <w:numPr>
          <w:ilvl w:val="0"/>
          <w:numId w:val="2"/>
        </w:numPr>
        <w:spacing w:after="80"/>
      </w:pPr>
      <w:r>
        <w:rPr>
          <w:b/>
          <w:bCs/>
        </w:rPr>
        <w:t xml:space="preserve">Mork vacatur standard (¶¶66, 126). </w:t>
      </w:r>
      <w:r>
        <w:t xml:space="preserve">Verified — but Mork sets a demanding bar: vacatur requires fraud, misfeasance, malfeasance, or wrongdoing (or fraud-level gross inadequacy), not mere error or an unitemized award. The Complaint correctly pleads vacatur only as a final alternative; just ensure the asserted grounds (no umpire report, contractor-selected appraiser, no chance to communicate with the panel) are framed as panel wrongdoing, not as ordinary defects.</w:t>
      </w:r>
    </w:p>
    <w:p>
      <w:pPr>
        <w:pStyle w:val="ListParagraph"/>
        <w:numPr>
          <w:ilvl w:val="0"/>
          <w:numId w:val="2"/>
        </w:numPr>
        <w:spacing w:after="80"/>
      </w:pPr>
      <w:r>
        <w:rPr>
          <w:b/>
          <w:bCs/>
        </w:rPr>
        <w:t xml:space="preserve">Cedar Bluff matching (¶¶51, 57(e)). </w:t>
      </w:r>
      <w:r>
        <w:t xml:space="preserve">Verified and strong, but it is a siding/replacement-cost “comparable material and quality” holding. Applying it to windows is a reasonable analogy — frame it as analogy, not as on-all-fours authority.</w:t>
      </w:r>
    </w:p>
    <w:p>
      <w:pPr>
        <w:pStyle w:val="ListParagraph"/>
        <w:numPr>
          <w:ilvl w:val="0"/>
          <w:numId w:val="2"/>
        </w:numPr>
        <w:spacing w:after="80"/>
      </w:pPr>
      <w:r>
        <w:rPr>
          <w:b/>
          <w:bCs/>
        </w:rPr>
        <w:t xml:space="preserve">Poehler prejudgment interest (Prayer ¶E). </w:t>
      </w:r>
      <w:r>
        <w:t xml:space="preserve">Verified for entitlement to preaward interest under § 549.09 on an appraisal/insurance award without proof of wrongdoing. Poehler did not itself fix the accrual start date for appraisal awards; the “from date of notice” framing tracks the statute's text, so cite the statute (not Poehler) for the start date.</w:t>
      </w:r>
    </w:p>
    <w:p>
      <w:pPr>
        <w:pStyle w:val="Heading1"/>
      </w:pPr>
      <w:r>
        <w:t xml:space="preserve">Authorities verified accurate</w:t>
      </w:r>
    </w:p>
    <w:p>
      <w:pPr>
        <w:spacing w:after="120"/>
      </w:pPr>
      <w:r>
        <w:t xml:space="preserve">The following were checked and confirmed — citation, proposition, and good-law status all correct (subject only to any precision notes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360"/>
      </w:tblGrid>
      <w:tr>
        <w:trPr>
          <w:tblHeader/>
        </w:trPr>
        <w:tc>
          <w:tcPr>
            <w:tcW w:type="dxa" w:w="1900"/>
            <w:tcBorders>
              <w:top w:val="single" w:color="BBBBBB" w:sz="1"/>
              <w:left w:val="single" w:color="BBBBBB" w:sz="1"/>
              <w:bottom w:val="single" w:color="BBBBBB" w:sz="1"/>
              <w:right w:val="single" w:color="BBBBBB" w:sz="1"/>
            </w:tcBorders>
            <w:shd w:fill="305496" w:val="clear"/>
            <w:tcMar>
              <w:top w:type="dxa" w:w="60"/>
              <w:left w:type="dxa" w:w="100"/>
              <w:bottom w:type="dxa" w:w="60"/>
              <w:right w:type="dxa" w:w="100"/>
            </w:tcMar>
          </w:tcPr>
          <w:p>
            <w:r>
              <w:rPr>
                <w:b/>
                <w:bCs/>
                <w:color w:val="FFFFFF"/>
              </w:rPr>
              <w:t xml:space="preserve">Status</w:t>
            </w:r>
          </w:p>
        </w:tc>
        <w:tc>
          <w:tcPr>
            <w:tcW w:type="dxa" w:w="4100"/>
            <w:tcBorders>
              <w:top w:val="single" w:color="BBBBBB" w:sz="1"/>
              <w:left w:val="single" w:color="BBBBBB" w:sz="1"/>
              <w:bottom w:val="single" w:color="BBBBBB" w:sz="1"/>
              <w:right w:val="single" w:color="BBBBBB" w:sz="1"/>
            </w:tcBorders>
            <w:shd w:fill="305496" w:val="clear"/>
            <w:tcMar>
              <w:top w:type="dxa" w:w="60"/>
              <w:left w:type="dxa" w:w="100"/>
              <w:bottom w:type="dxa" w:w="60"/>
              <w:right w:type="dxa" w:w="100"/>
            </w:tcMar>
          </w:tcPr>
          <w:p>
            <w:r>
              <w:rPr>
                <w:b/>
                <w:bCs/>
                <w:color w:val="FFFFFF"/>
              </w:rPr>
              <w:t xml:space="preserve">Authority</w:t>
            </w:r>
          </w:p>
        </w:tc>
        <w:tc>
          <w:tcPr>
            <w:tcW w:type="dxa" w:w="3360"/>
            <w:tcBorders>
              <w:top w:val="single" w:color="BBBBBB" w:sz="1"/>
              <w:left w:val="single" w:color="BBBBBB" w:sz="1"/>
              <w:bottom w:val="single" w:color="BBBBBB" w:sz="1"/>
              <w:right w:val="single" w:color="BBBBBB" w:sz="1"/>
            </w:tcBorders>
            <w:shd w:fill="305496" w:val="clear"/>
            <w:tcMar>
              <w:top w:type="dxa" w:w="60"/>
              <w:left w:type="dxa" w:w="100"/>
              <w:bottom w:type="dxa" w:w="60"/>
              <w:right w:type="dxa" w:w="100"/>
            </w:tcMar>
          </w:tcPr>
          <w:p>
            <w:r>
              <w:rPr>
                <w:b/>
                <w:bCs/>
                <w:color w:val="FFFFFF"/>
              </w:rPr>
              <w:t xml:space="preserve">Cited for / note</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Minn. Stat. § 65A.01, subd. 3</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Appraisal itemization command quoted verbatim; correct subdivision.</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Quade v. Secura Ins., 814 N.W.2d 703 (Minn. 2012)</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Appraisers decide causation; coverage is for the court. Still good law.</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Mork, 230 Minn. 382, 42 N.W.2d 33 (1950)</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Vacatur for fraud/wrongdoing — strict standard (see note).</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Herll v. Auto-Owners, 879 F.3d 293 (8th Cir. 2018)</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Remand of ambiguous appraisal award to panel (MN hail/windows case).</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Cincinnati Ins. v. Rymer, No. 24-3356 (8th Cir. Mar. 27, 2026)</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Clarification-remand under MN law (slip cite; see note).</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Cedar Bluff, 857 N.W.2d 290 (Minn. 2014)</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Matching / “comparable material and quality” (siding; apply by analogy).</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Hammer, 511 N.W.2d 6, 8 (Minn. 1994)</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Ambiguity construed against insurer.</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Atwater Creamery, 366 N.W.2d 271 (Minn. 1985)</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Reasonable-expectations doctrine; ambiguity for insured.</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Poehler, 899 N.W.2d 135 (Minn. 2017)</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Preaward interest on insurance/appraisal award (see note).</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Wiegand, 683 N.W.2d 807, 813 (Minn. 2004)</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Causal-nexus requirement for private CFA claim.</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Group Health Plan v. Philip Morris, 621 N.W.2d 2, 13-15 (Minn. 2001)</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Causal-nexus standard; reliance not a required pleading element.</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Force v. ITT Hartford, 4 F. Supp. 2d 843 (D. Minn. 1998)</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Insurance is “merchandise” under CFA (persuasive; confirm pinpoint).</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Minn. Stat. § 325F.68 / .69 / .70 / § 8.31 subd. 3a</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CFA definitions, prohibition, private remedy, private-AG (see pin-cite notes).</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Minn. Stat. § 484.01</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District court original subject-matter jurisdiction.</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Minn. Stat. § 543.19</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Long-arm personal jurisdiction over foreign corporation.</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Minn. Stat. § 542.09</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Venue where cause of action arose.</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Minn. R. Civ. P. 8.05</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Pleading in the alternative / inconsistent claims.</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Minn. R. Civ. P. 37</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Discovery sanctions / adverse-inference.</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Minn. Stat. ch. 555 (§§ 555.01-.16, .06, .08)</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Declaratory Judgments Act; discretionary refusal; supplemental relief.</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Minn. Stat. § 604.18 (incl. subd. 4(a))</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Bad-faith taxable costs by post-pleading motion (watch subd. 4(c)).</w:t>
            </w:r>
          </w:p>
        </w:tc>
      </w:tr>
      <w:tr>
        <w:tc>
          <w:tcPr>
            <w:tcW w:type="dxa" w:w="1900"/>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tcPr>
          <w:p>
            <w:r>
              <w:rPr>
                <w:b/>
                <w:bCs/>
              </w:rPr>
              <w:t xml:space="preserve">OK</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Minn. Stat. § 549.09 subd. 1(b)</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Preaward/prejudgment interest from notice of claim.</w:t>
            </w:r>
          </w:p>
        </w:tc>
      </w:tr>
      <w:tr>
        <w:tc>
          <w:tcPr>
            <w:tcW w:type="dxa" w:w="19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r>
              <w:rPr>
                <w:b/>
                <w:bCs/>
              </w:rPr>
              <w:t xml:space="preserve">FIX</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Minn. Stat. § 72A.201</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Claim-file duty is subd. 9(3), NOT subd. 3(3). Correct the pin cite.</w:t>
            </w:r>
          </w:p>
        </w:tc>
      </w:tr>
      <w:tr>
        <w:tc>
          <w:tcPr>
            <w:tcW w:type="dxa" w:w="19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r>
              <w:rPr>
                <w:b/>
                <w:bCs/>
              </w:rPr>
              <w:t xml:space="preserve">HIGH</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Minn. Stat. § 65A.26</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Accurate (1-yr hail limit) but creates a timeliness exposure — see item 1.</w:t>
            </w:r>
          </w:p>
        </w:tc>
      </w:tr>
    </w:tbl>
    <w:p>
      <w:pPr>
        <w:spacing w:before="240"/>
      </w:pPr>
      <w:r>
        <w:rPr>
          <w:i/>
          <w:iCs/>
          <w:color w:val="777777"/>
          <w:sz w:val="18"/>
          <w:szCs w:val="18"/>
        </w:rPr>
        <w:t xml:space="preserve">This memo verifies citation accuracy and doctrinal support; it is not a substitute for licensed Minnesota counsel and does not assess factual sufficiency, evidentiary admissibility, or trial strategy.</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Legal-Basis Verification Memo  —  Lu &amp; Hu v. Fire Insurance Exchange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160"/>
      <w:outlineLvl w:val="1"/>
    </w:pPr>
    <w:rPr>
      <w:rFonts w:ascii="Calibri" w:cs="Calibri" w:eastAsia="Calibri" w:hAnsi="Calibri"/>
      <w:b/>
      <w:bCs/>
      <w:color w:val="30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2026-06-29T02:09:05.545Z</dcterms:created>
  <dcterms:modified xsi:type="dcterms:W3CDTF">2026-06-29T02:09:05.545Z</dcterms:modified>
</cp:coreProperties>
</file>

<file path=docProps/custom.xml><?xml version="1.0" encoding="utf-8"?>
<Properties xmlns="http://schemas.openxmlformats.org/officeDocument/2006/custom-properties" xmlns:vt="http://schemas.openxmlformats.org/officeDocument/2006/docPropsVTypes"/>
</file>