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120" w:line="240" w:lineRule="auto"/>
        <w:jc w:val="left"/>
      </w:pPr>
      <w:r>
        <w:rPr>
          <w:rFonts w:ascii="Times New Roman" w:hAnsi="Times New Roman"/>
          <w:sz w:val="24"/>
        </w:rPr>
        <w:t xml:space="preserve">Yibiao Lu and Jie Hu</w:t>
      </w:r>
      <w:r>
        <w:rPr>
          <w:rFonts w:ascii="Times New Roman" w:hAnsi="Times New Roman"/>
          <w:sz w:val="24"/>
        </w:rPr>
        <w:br/>
      </w:r>
      <w:r>
        <w:rPr>
          <w:rFonts w:ascii="Times New Roman" w:hAnsi="Times New Roman"/>
          <w:sz w:val="24"/>
        </w:rPr>
        <w:t xml:space="preserve">17756 George Moran Dr.</w:t>
      </w:r>
      <w:r>
        <w:rPr>
          <w:rFonts w:ascii="Times New Roman" w:hAnsi="Times New Roman"/>
          <w:sz w:val="24"/>
        </w:rPr>
        <w:br/>
      </w:r>
      <w:r>
        <w:rPr>
          <w:rFonts w:ascii="Times New Roman" w:hAnsi="Times New Roman"/>
          <w:sz w:val="24"/>
        </w:rPr>
        <w:t xml:space="preserve">Eden Prairie, MN 55347</w:t>
      </w:r>
      <w:r>
        <w:rPr>
          <w:rFonts w:ascii="Times New Roman" w:hAnsi="Times New Roman"/>
          <w:sz w:val="24"/>
        </w:rPr>
        <w:br/>
      </w:r>
      <w:r>
        <w:rPr>
          <w:rFonts w:ascii="Times New Roman" w:hAnsi="Times New Roman"/>
          <w:sz w:val="24"/>
        </w:rPr>
        <w:t xml:space="preserve">Telephone: 763-843-2859 | Email: bill_y_lu@yahoo.com; jie_h_hu@yahoo.com</w:t>
      </w:r>
    </w:p>
    <w:p>
      <w:pPr>
        <w:pStyle w:val="BodyText"/>
        <w:spacing w:before="0" w:after="120" w:line="240" w:lineRule="auto"/>
        <w:jc w:val="left"/>
      </w:pPr>
      <w:r>
        <w:rPr>
          <w:rFonts w:ascii="Times New Roman" w:hAnsi="Times New Roman"/>
          <w:sz w:val="24"/>
        </w:rPr>
        <w:t xml:space="preserve">September 27, 2026</w:t>
      </w:r>
    </w:p>
    <w:p>
      <w:pPr>
        <w:pStyle w:val="BodyText"/>
        <w:spacing w:before="0" w:after="120" w:line="240" w:lineRule="auto"/>
        <w:jc w:val="left"/>
      </w:pPr>
      <w:r>
        <w:rPr>
          <w:rFonts w:ascii="Times New Roman" w:hAnsi="Times New Roman"/>
          <w:sz w:val="24"/>
        </w:rPr>
        <w:t xml:space="preserve">VIA EMAIL</w:t>
      </w:r>
    </w:p>
    <w:p>
      <w:pPr>
        <w:pStyle w:val="BodyText"/>
        <w:spacing w:before="0" w:after="120" w:line="240" w:lineRule="auto"/>
        <w:jc w:val="left"/>
      </w:pPr>
      <w:r>
        <w:rPr>
          <w:rFonts w:ascii="Times New Roman" w:hAnsi="Times New Roman"/>
          <w:sz w:val="24"/>
        </w:rPr>
        <w:t xml:space="preserve">Mary J. Baskfield, Esq.</w:t>
      </w:r>
      <w:r>
        <w:rPr>
          <w:rFonts w:ascii="Times New Roman" w:hAnsi="Times New Roman"/>
          <w:sz w:val="24"/>
        </w:rPr>
        <w:br/>
      </w:r>
      <w:r>
        <w:rPr>
          <w:rFonts w:ascii="Times New Roman" w:hAnsi="Times New Roman"/>
          <w:sz w:val="24"/>
        </w:rPr>
        <w:t xml:space="preserve">Kevin J. Kennedy, Esq.</w:t>
      </w:r>
      <w:r>
        <w:rPr>
          <w:rFonts w:ascii="Times New Roman" w:hAnsi="Times New Roman"/>
          <w:sz w:val="24"/>
        </w:rPr>
        <w:br/>
      </w:r>
      <w:r>
        <w:rPr>
          <w:rFonts w:ascii="Times New Roman" w:hAnsi="Times New Roman"/>
          <w:sz w:val="24"/>
        </w:rPr>
        <w:t xml:space="preserve">Kennedy Law Firm P.C.</w:t>
      </w:r>
      <w:r>
        <w:rPr>
          <w:rFonts w:ascii="Times New Roman" w:hAnsi="Times New Roman"/>
          <w:sz w:val="24"/>
        </w:rPr>
        <w:br/>
      </w:r>
      <w:r>
        <w:rPr>
          <w:rFonts w:ascii="Times New Roman" w:hAnsi="Times New Roman"/>
          <w:sz w:val="24"/>
        </w:rPr>
        <w:t xml:space="preserve">7616 Currell Blvd., Suite 270</w:t>
      </w:r>
      <w:r>
        <w:rPr>
          <w:rFonts w:ascii="Times New Roman" w:hAnsi="Times New Roman"/>
          <w:sz w:val="24"/>
        </w:rPr>
        <w:br/>
      </w:r>
      <w:r>
        <w:rPr>
          <w:rFonts w:ascii="Times New Roman" w:hAnsi="Times New Roman"/>
          <w:sz w:val="24"/>
        </w:rPr>
        <w:t xml:space="preserve">Woodbury, MN 55125</w:t>
      </w:r>
      <w:r>
        <w:rPr>
          <w:rFonts w:ascii="Times New Roman" w:hAnsi="Times New Roman"/>
          <w:sz w:val="24"/>
        </w:rPr>
        <w:br/>
      </w:r>
      <w:r>
        <w:rPr>
          <w:rFonts w:ascii="Times New Roman" w:hAnsi="Times New Roman"/>
          <w:sz w:val="24"/>
        </w:rPr>
        <w:t xml:space="preserve">mbaskfield@kennedylf.com; kkennedy@kennedylf.com</w:t>
      </w:r>
    </w:p>
    <w:p>
      <w:pPr>
        <w:pStyle w:val="BodyText"/>
        <w:spacing w:before="0" w:after="120" w:line="240" w:lineRule="auto"/>
        <w:jc w:val="left"/>
      </w:pPr>
      <w:r>
        <w:rPr>
          <w:rFonts w:ascii="Times New Roman" w:hAnsi="Times New Roman"/>
          <w:sz w:val="24"/>
        </w:rPr>
        <w:t xml:space="preserve">Re: Lu and Hu v. Fire Insurance Exchange, Court File No. 27-CV-26-11606 (Your File No. 5490): Plaintiffs’ First Set of Requests for Admission</w:t>
      </w:r>
    </w:p>
    <w:p>
      <w:pPr>
        <w:pStyle w:val="BodyText"/>
        <w:spacing w:before="0" w:after="120" w:line="240" w:lineRule="auto"/>
        <w:jc w:val="left"/>
      </w:pPr>
      <w:r>
        <w:rPr>
          <w:rFonts w:ascii="Times New Roman" w:hAnsi="Times New Roman"/>
          <w:sz w:val="24"/>
        </w:rPr>
        <w:t xml:space="preserve">Counsel:</w:t>
      </w:r>
    </w:p>
    <w:p>
      <w:pPr>
        <w:pStyle w:val="BodyText"/>
        <w:spacing w:before="0" w:after="120" w:line="240" w:lineRule="auto"/>
        <w:jc w:val="left"/>
      </w:pPr>
      <w:r>
        <w:rPr>
          <w:rFonts w:ascii="Times New Roman" w:hAnsi="Times New Roman"/>
          <w:sz w:val="24"/>
        </w:rPr>
        <w:t xml:space="preserve">We write in response to the part of your September 25, 2026 letter concerning Plaintiffs’ First Set of Requests for Admission, served September 20, 2026. The other matters in your letter will be addressed separately.</w:t>
      </w:r>
    </w:p>
    <w:p>
      <w:pPr>
        <w:pStyle w:val="BodyText"/>
        <w:spacing w:before="0" w:after="120" w:line="240" w:lineRule="auto"/>
        <w:jc w:val="left"/>
      </w:pPr>
      <w:r>
        <w:rPr>
          <w:rFonts w:ascii="Times New Roman" w:hAnsi="Times New Roman"/>
          <w:sz w:val="24"/>
        </w:rPr>
        <w:t xml:space="preserve">This case is not limited to the appraisal award. The Complaint also pleads breach of the insurance contract, declaratory relief on coverage, and claims under the Minnesota Consumer Fraud Act, and each request relates to those claims or to Defendant’s defenses. Defendant’s own Rule 26.06 Discovery Plan, filed September 1, 2026, states at paragraph 5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parties do not recommend any limitations on discovery beyond those set forth in the Minnesota Rules of Civil Procedure,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Rule 36 sets no limit on the number of requests for admission. We therefore do not agree to limit the Requests for Admission to 25, and we do not agree that Defendant may select them.</w:t>
      </w:r>
    </w:p>
    <w:p>
      <w:pPr>
        <w:pStyle w:val="BodyText"/>
        <w:spacing w:before="0" w:after="120" w:line="240" w:lineRule="auto"/>
        <w:jc w:val="left"/>
      </w:pPr>
      <w:r>
        <w:rPr>
          <w:rFonts w:ascii="Times New Roman" w:hAnsi="Times New Roman"/>
          <w:sz w:val="24"/>
        </w:rPr>
        <w:t xml:space="preserve">To narrow what remains, Plaintiffs ask Defendant to answer the following requests within the time Rule 36.01 provides, which we calculate as on or about October 21, 2026:</w:t>
      </w:r>
      <w:r>
        <w:rPr>
          <w:rFonts w:ascii="Times New Roman" w:hAnsi="Times New Roman"/>
          <w:sz w:val="24"/>
        </w:rPr>
        <w:t xml:space="preserve"> </w:t>
      </w:r>
      <w:r>
        <w:rPr>
          <w:rFonts w:ascii="Times New Roman" w:hAnsi="Times New Roman"/>
          <w:b/>
          <w:sz w:val="24"/>
        </w:rPr>
        <w:t xml:space="preserve">Nos. 16, 17, 20, 21, 22, 29, 30, 33, 34, 35, 43, 47, 49, 55, 56, 59, 60, 69, 70, 72, 73, 79, 80, 81, 82, 83, 84, 85, 86, 94, 113, 114, 115, 128, 129, 135 and 140.</w:t>
      </w:r>
    </w:p>
    <w:p>
      <w:pPr>
        <w:pStyle w:val="BodyText"/>
        <w:spacing w:before="0" w:after="120" w:line="240" w:lineRule="auto"/>
        <w:jc w:val="left"/>
      </w:pPr>
      <w:r>
        <w:rPr>
          <w:rFonts w:ascii="Times New Roman" w:hAnsi="Times New Roman"/>
          <w:sz w:val="24"/>
        </w:rPr>
        <w:t xml:space="preserve">Your letter acknowledges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Fire Insurance Exchange is a proper party to this lawsuit,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Defendant’s First Affirmative Defense pleads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lack of jurisdiction over Defendant FIE.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Requests Nos. 113, 114, 115, 128 and 129 address those two points directly. If Defendant serves signed answers admitting each of those five requests, without qualification, by October 9, 2026, Plaintiffs will on receipt withdraw Requests</w:t>
      </w:r>
      <w:r>
        <w:rPr>
          <w:rFonts w:ascii="Times New Roman" w:hAnsi="Times New Roman"/>
          <w:sz w:val="24"/>
        </w:rPr>
        <w:t xml:space="preserve"> </w:t>
      </w:r>
      <w:r>
        <w:rPr>
          <w:rFonts w:ascii="Times New Roman" w:hAnsi="Times New Roman"/>
          <w:b/>
          <w:sz w:val="24"/>
        </w:rPr>
        <w:t xml:space="preserve">Nos. 4, 5, 6, 7, 8, 9, 10, 11, 12, 88, 89, 90, 91, 92, 112, 116, 117, 121, 125, 126, 127 and 137</w:t>
      </w:r>
      <w:r>
        <w:rPr>
          <w:rFonts w:ascii="Times New Roman" w:hAnsi="Times New Roman"/>
          <w:sz w:val="24"/>
        </w:rPr>
        <w:t xml:space="preserve">, which go to the same subjects. Until then those requests remain pending and are to be answered with the rest of the set. We offer this so that the entity and jurisdiction questions can be closed before the November 16, 2026 joinder deadline without further correspondence or a motion.</w:t>
      </w:r>
    </w:p>
    <w:p>
      <w:pPr>
        <w:pStyle w:val="BodyText"/>
        <w:spacing w:before="0" w:after="120" w:line="240" w:lineRule="auto"/>
        <w:jc w:val="left"/>
      </w:pPr>
      <w:r>
        <w:rPr>
          <w:rFonts w:ascii="Times New Roman" w:hAnsi="Times New Roman"/>
          <w:sz w:val="24"/>
        </w:rPr>
        <w:t xml:space="preserve">All other Requests are withdrawn, without prejudice to serving requests on the same subjects later in discovery.</w:t>
      </w:r>
    </w:p>
    <w:p>
      <w:pPr>
        <w:pStyle w:val="BodyText"/>
        <w:keepNext/>
        <w:spacing w:before="0" w:after="120" w:line="240" w:lineRule="auto"/>
        <w:jc w:val="left"/>
      </w:pPr>
      <w:r>
        <w:rPr>
          <w:rFonts w:ascii="Times New Roman" w:hAnsi="Times New Roman"/>
          <w:sz w:val="24"/>
        </w:rPr>
        <w:t xml:space="preserve">Service on Plaintiffs should continue to be made to both bill_y_lu@yahoo.com and jie_h_hu@yahoo.com.</w:t>
      </w:r>
    </w:p>
    <w:p>
      <w:pPr>
        <w:pStyle w:val="BodyText"/>
        <w:keepNext/>
        <w:spacing w:before="0" w:after="0" w:line="240" w:lineRule="auto"/>
        <w:jc w:val="left"/>
      </w:pPr>
      <w:r>
        <w:rPr>
          <w:rFonts w:ascii="Times New Roman" w:hAnsi="Times New Roman"/>
          <w:sz w:val="24"/>
        </w:rPr>
        <w:t xml:space="preserve">Sincerely,</w:t>
      </w:r>
    </w:p>
    <w:p>
      <w:pPr>
        <w:pStyle w:val="BodyText"/>
        <w:keepNext/>
        <w:spacing w:before="520" w:after="0" w:line="240" w:lineRule="auto"/>
        <w:jc w:val="left"/>
      </w:pPr>
      <w:r>
        <w:rPr>
          <w:rFonts w:ascii="Times New Roman" w:hAnsi="Times New Roman"/>
          <w:sz w:val="24"/>
        </w:rPr>
        <w:t xml:space="preserve">______________________________</w:t>
      </w:r>
      <w:r>
        <w:rPr>
          <w:rFonts w:ascii="Times New Roman" w:hAnsi="Times New Roman"/>
          <w:sz w:val="24"/>
        </w:rPr>
        <w:br/>
      </w:r>
      <w:r>
        <w:rPr>
          <w:rFonts w:ascii="Times New Roman" w:hAnsi="Times New Roman"/>
          <w:sz w:val="24"/>
        </w:rPr>
        <w:t xml:space="preserve">Yibiao Lu</w:t>
      </w:r>
    </w:p>
    <w:p>
      <w:pPr>
        <w:pStyle w:val="BodyText"/>
        <w:keepNext/>
        <w:spacing w:before="520" w:after="0" w:line="240" w:lineRule="auto"/>
        <w:jc w:val="left"/>
      </w:pPr>
      <w:r>
        <w:rPr>
          <w:rFonts w:ascii="Times New Roman" w:hAnsi="Times New Roman"/>
          <w:sz w:val="24"/>
        </w:rPr>
        <w:t xml:space="preserve">______________________________</w:t>
      </w:r>
      <w:r>
        <w:rPr>
          <w:rFonts w:ascii="Times New Roman" w:hAnsi="Times New Roman"/>
          <w:sz w:val="24"/>
        </w:rPr>
        <w:br/>
      </w:r>
      <w:r>
        <w:rPr>
          <w:rFonts w:ascii="Times New Roman" w:hAnsi="Times New Roman"/>
          <w:sz w:val="24"/>
        </w:rPr>
        <w:t xml:space="preserve">Jie Hu</w:t>
      </w:r>
      <w:r>
        <w:rPr>
          <w:rFonts w:ascii="Times New Roman" w:hAnsi="Times New Roman"/>
          <w:sz w:val="24"/>
        </w:rPr>
        <w:br/>
      </w:r>
      <w:r>
        <w:rPr>
          <w:rFonts w:ascii="Times New Roman" w:hAnsi="Times New Roman"/>
          <w:sz w:val="24"/>
        </w:rPr>
        <w:t xml:space="preserve">Plaintiffs pro se</w:t>
      </w:r>
    </w:p>
    <w:sectPr>
      <w:footerReference w:type="default" r:id="rId9"/>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67C2FEE3" w14:textId="77777777" w:rsidR="00B24DEF" w:rsidRDefault="00000000">
    <w:pPr>
      <w:spacing w:before="120" w:after="0"/>
      <w:jc w:val="center"/>
    </w:pPr>
    <w:r>
      <w:fldChar w:fldCharType="begin"/>
    </w:r>
    <w:r>
      <w:instrText xml:space="preserve"> PAGE </w:instrText>
    </w:r>
    <w:r w:rsidR="00E5432C">
      <w:fldChar w:fldCharType="separate"/>
    </w:r>
    <w:r w:rsidR="00E5432C">
      <w:rPr>
        <w:noProof/>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Times New Roman" w:hAnsi="Times New Roman" w:cs="Times New Roman" w:eastAsia="Times New Roman"/>
      <w:sz w:val="24"/>
    </w:rPr>
  </w:style>
  <w:style w:type="paragraph" w:styleId="BodyText">
    <w:name w:val="Body Text"/>
    <w:basedOn w:val="Normal"/>
    <w:link w:val="BodyTextChar"/>
    <w:pPr>
      <w:spacing w:before="180" w:after="180"/>
    </w:pPr>
    <w:qFormat/>
    <w:rPr>
      <w:rFonts w:ascii="Times New Roman" w:hAnsi="Times New Roman" w:cs="Times New Roman" w:eastAsia="Times New Roman"/>
      <w:sz w:val="24"/>
    </w:rPr>
  </w:style>
  <w:style w:type="paragraph" w:customStyle="1" w:styleId="FirstParagraph">
    <w:name w:val="First Paragraph"/>
    <w:basedOn w:val="BodyText"/>
    <w:next w:val="BodyText"/>
    <w:qFormat/>
    <w:rPr>
      <w:rFonts w:ascii="Times New Roman" w:hAnsi="Times New Roman" w:cs="Times New Roman" w:eastAsia="Times New Roman"/>
      <w:sz w:val="24"/>
    </w:rPr>
  </w:style>
  <w:style w:type="paragraph" w:customStyle="1" w:styleId="Compact">
    <w:name w:val="Compact"/>
    <w:basedOn w:val="BodyText"/>
    <w:qFormat/>
    <w:pPr>
      <w:spacing w:before="36" w:after="36"/>
    </w:pPr>
    <w:rPr>
      <w:rFonts w:ascii="Times New Roman" w:hAnsi="Times New Roman" w:cs="Times New Roman" w:eastAsia="Times New Roman"/>
      <w:sz w:val="24"/>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ascii="Times New Roman" w:hAnsi="Times New Roman" w:cs="Times New Roman" w:eastAsia="Times New Roman"/>
      <w:b/>
      <w:bCs/>
      <w:sz w:val="24"/>
      <w:szCs w:val="36"/>
    </w:rPr>
  </w:style>
  <w:style w:type="paragraph" w:styleId="Subtitle">
    <w:name w:val="Subtitle"/>
    <w:basedOn w:val="Title"/>
    <w:next w:val="BodyText"/>
    <w:qFormat/>
    <w:pPr>
      <w:keepNext/>
      <w:keepLines/>
      <w:spacing w:before="240" w:after="240"/>
      <w:jc w:val="center"/>
    </w:pPr>
    <w:rPr>
      <w:rFonts w:ascii="Times New Roman" w:hAnsi="Times New Roman" w:cs="Times New Roman" w:eastAsia="Times New Roman"/>
      <w:sz w:val="24"/>
      <w:szCs w:val="30"/>
    </w:rPr>
  </w:style>
  <w:style w:type="paragraph" w:customStyle="1" w:styleId="Author">
    <w:name w:val="Author"/>
    <w:next w:val="BodyText"/>
    <w:qFormat/>
    <w:pPr>
      <w:keepNext/>
      <w:keepLines/>
      <w:jc w:val="center"/>
    </w:pPr>
    <w:rPr>
      <w:rFonts w:ascii="Times New Roman" w:hAnsi="Times New Roman" w:cs="Times New Roman" w:eastAsia="Times New Roman"/>
      <w:sz w:val="24"/>
    </w:rPr>
  </w:style>
  <w:style w:type="paragraph" w:styleId="Date">
    <w:name w:val="Date"/>
    <w:next w:val="BodyText"/>
    <w:qFormat/>
    <w:pPr>
      <w:keepNext/>
      <w:keepLines/>
      <w:jc w:val="center"/>
    </w:pPr>
    <w:rPr>
      <w:rFonts w:ascii="Times New Roman" w:hAnsi="Times New Roman" w:cs="Times New Roman" w:eastAsia="Times New Roman"/>
      <w:sz w:val="24"/>
    </w:rPr>
  </w:style>
  <w:style w:type="paragraph" w:customStyle="1" w:styleId="Abstract">
    <w:name w:val="Abstract"/>
    <w:basedOn w:val="Normal"/>
    <w:next w:val="BodyText"/>
    <w:qFormat/>
    <w:pPr>
      <w:keepNext/>
      <w:keepLines/>
      <w:spacing w:before="300" w:after="300"/>
    </w:pPr>
    <w:rPr>
      <w:rFonts w:ascii="Times New Roman" w:hAnsi="Times New Roman" w:cs="Times New Roman" w:eastAsia="Times New Roman"/>
      <w:sz w:val="24"/>
      <w:szCs w:val="20"/>
    </w:rPr>
  </w:style>
  <w:style w:type="paragraph" w:styleId="Bibliography">
    <w:name w:val="Bibliography"/>
    <w:basedOn w:val="Normal"/>
    <w:next w:val="Bibliography"/>
    <w:qFormat/>
    <w:pPr/>
    <w:rPr>
      <w:rFonts w:ascii="Times New Roman" w:hAnsi="Times New Roman" w:cs="Times New Roman" w:eastAsia="Times New Roman"/>
      <w:sz w:val="24"/>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ascii="Times New Roman" w:hAnsi="Times New Roman" w:cs="Times New Roman" w:eastAsia="Times New Roman"/>
      <w:b/>
      <w:bCs/>
      <w:sz w:val="24"/>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ascii="Times New Roman" w:hAnsi="Times New Roman" w:cs="Times New Roman" w:eastAsia="Times New Roman"/>
      <w:b/>
      <w:bCs/>
      <w:sz w:val="24"/>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ascii="Times New Roman" w:hAnsi="Times New Roman" w:cs="Times New Roman" w:eastAsia="Times New Roman"/>
      <w:b/>
      <w:bCs/>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ascii="Times New Roman" w:hAnsi="Times New Roman" w:cs="Times New Roman" w:eastAsia="Times New Roman"/>
      <w:i/>
      <w:bCs/>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ascii="Times New Roman" w:hAnsi="Times New Roman" w:cs="Times New Roman" w:eastAsia="Times New Roman"/>
      <w:iCs/>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ascii="Times New Roman" w:hAnsi="Times New Roman" w:cs="Times New Roman" w:eastAsia="Times New Roman"/>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ascii="Times New Roman" w:hAnsi="Times New Roman" w:cs="Times New Roman" w:eastAsia="Times New Roman"/>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ascii="Times New Roman" w:hAnsi="Times New Roman" w:cs="Times New Roman" w:eastAsia="Times New Roman"/>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ascii="Times New Roman" w:hAnsi="Times New Roman" w:cs="Times New Roman" w:eastAsia="Times New Roman"/>
      <w:sz w:val="24"/>
      <w:szCs w:val="24"/>
    </w:rPr>
  </w:style>
  <w:style w:type="paragraph" w:styleId="BlockText">
    <w:name w:val="Block Text"/>
    <w:basedOn w:val="BodyText"/>
    <w:next w:val="BodyText"/>
    <w:uiPriority w:val="9"/>
    <w:unhideWhenUsed/>
    <w:qFormat/>
    <w:pPr>
      <w:spacing w:before="100" w:after="100"/>
      <w:ind w:firstLine="0" w:left="480" w:right="480"/>
    </w:pPr>
    <w:rPr>
      <w:rFonts w:ascii="Times New Roman" w:hAnsi="Times New Roman" w:cs="Times New Roman" w:eastAsia="Times New Roman"/>
      <w:sz w:val="24"/>
    </w:rPr>
  </w:style>
  <w:style w:type="paragraph" w:styleId="FootnoteText">
    <w:name w:val="Footnote Text"/>
    <w:basedOn w:val="Normal"/>
    <w:next w:val="FootnoteText"/>
    <w:uiPriority w:val="9"/>
    <w:unhideWhenUsed/>
    <w:qFormat/>
    <w:rPr>
      <w:rFonts w:ascii="Times New Roman" w:hAnsi="Times New Roman" w:cs="Times New Roman" w:eastAsia="Times New Roman"/>
      <w:sz w:val="24"/>
    </w:r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rFonts w:ascii="Times New Roman" w:hAnsi="Times New Roman" w:cs="Times New Roman" w:eastAsia="Times New Roman"/>
      <w:b/>
      <w:sz w:val="24"/>
    </w:rPr>
  </w:style>
  <w:style w:type="paragraph" w:customStyle="1" w:styleId="Definition">
    <w:name w:val="Definition"/>
    <w:basedOn w:val="Normal"/>
    <w:rPr>
      <w:rFonts w:ascii="Times New Roman" w:hAnsi="Times New Roman" w:cs="Times New Roman" w:eastAsia="Times New Roman"/>
      <w:sz w:val="24"/>
    </w:rPr>
  </w:style>
  <w:style w:type="paragraph" w:styleId="Caption">
    <w:name w:val="Caption"/>
    <w:basedOn w:val="Normal"/>
    <w:link w:val="BodyTextChar"/>
    <w:pPr>
      <w:spacing w:before="0" w:after="120"/>
    </w:pPr>
    <w:rPr>
      <w:rFonts w:ascii="Times New Roman" w:hAnsi="Times New Roman" w:cs="Times New Roman" w:eastAsia="Times New Roman"/>
      <w:i/>
      <w:sz w:val="24"/>
    </w:rPr>
  </w:style>
  <w:style w:type="paragraph" w:customStyle="1" w:styleId="TableCaption">
    <w:name w:val="Table Caption"/>
    <w:basedOn w:val="Caption"/>
    <w:pPr>
      <w:keepNext/>
    </w:pPr>
    <w:rPr>
      <w:rFonts w:ascii="Times New Roman" w:hAnsi="Times New Roman" w:cs="Times New Roman" w:eastAsia="Times New Roman"/>
      <w:sz w:val="24"/>
    </w:rPr>
  </w:style>
  <w:style w:type="paragraph" w:customStyle="1" w:styleId="ImageCaption">
    <w:name w:val="Image Caption"/>
    <w:basedOn w:val="Caption"/>
    <w:rPr>
      <w:rFonts w:ascii="Times New Roman" w:hAnsi="Times New Roman" w:cs="Times New Roman" w:eastAsia="Times New Roman"/>
      <w:sz w:val="24"/>
    </w:rPr>
  </w:style>
  <w:style w:type="paragraph" w:customStyle="1" w:styleId="Figure">
    <w:name w:val="Figure"/>
    <w:basedOn w:val="Normal"/>
    <w:rPr>
      <w:rFonts w:ascii="Times New Roman" w:hAnsi="Times New Roman" w:cs="Times New Roman" w:eastAsia="Times New Roman"/>
      <w:sz w:val="24"/>
    </w:rPr>
  </w:style>
  <w:style w:type="paragraph" w:customStyle="1" w:styleId="CaptionedFigure">
    <w:name w:val="Captioned Figure"/>
    <w:basedOn w:val="Figure"/>
    <w:pPr>
      <w:keepNext/>
    </w:pPr>
    <w:rPr>
      <w:rFonts w:ascii="Times New Roman" w:hAnsi="Times New Roman" w:cs="Times New Roman" w:eastAsia="Times New Roman"/>
      <w:sz w:val="24"/>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Times New Roman" w:hAnsi="Times New Roman" w:cs="Times New Roman" w:eastAsia="Times New Roman"/>
      <w:b w:val="0"/>
      <w:bCs w:val="0"/>
      <w:sz w:val="24"/>
    </w:rPr>
  </w:style>
  <w:style w:type="paragraph" w:customStyle="1" w:styleId="SourceCode">
    <w:name w:val="Source Code"/>
    <w:basedOn w:val="Normal"/>
    <w:link w:val="VerbatimChar"/>
    <w:pPr>
      <w:wordWrap w:val="off"/>
    </w:pPr>
    <w:rPr>
      <w:rFonts w:ascii="Times New Roman" w:hAnsi="Times New Roman" w:cs="Times New Roman" w:eastAsia="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2026-09-27T17:39:38Z</dcterms:created>
  <dcterms:modified xsi:type="dcterms:W3CDTF">2026-09-27T17:39:38Z</dcterms:modified>
</cp:coreProperties>
</file>

<file path=docProps/custom.xml><?xml version="1.0" encoding="utf-8"?>
<Properties xmlns="http://schemas.openxmlformats.org/officeDocument/2006/custom-properties" xmlns:vt="http://schemas.openxmlformats.org/officeDocument/2006/docPropsVTypes"/>
</file>