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4680"/>
        <w:gridCol w:w="4680"/>
      </w:tblGrid>
      <w:tr>
        <w:tc>
          <w:tcPr>
            <w:tcW w:type="dxa" w:w="4680"/>
          </w:tcPr>
          <w:p>
            <w:pPr>
              <w:spacing w:after="0" w:line="240" w:lineRule="auto"/>
            </w:pPr>
            <w:r/>
            <w:r>
              <w:rPr>
                <w:rFonts w:ascii="Times New Roman" w:hAnsi="Times New Roman"/>
                <w:sz w:val="26"/>
              </w:rPr>
              <w:t>STATE OF MINNESOTA</w:t>
            </w:r>
          </w:p>
          <w:p>
            <w:pPr>
              <w:spacing w:after="0" w:line="240" w:lineRule="auto"/>
            </w:pPr>
            <w:r>
              <w:rPr>
                <w:rFonts w:ascii="Times New Roman" w:hAnsi="Times New Roman"/>
                <w:sz w:val="26"/>
              </w:rPr>
              <w:t>COUNTY OF HENNEPIN</w:t>
            </w:r>
          </w:p>
        </w:tc>
        <w:tc>
          <w:tcPr>
            <w:tcW w:type="dxa" w:w="4680"/>
          </w:tcPr>
          <w:p>
            <w:pPr>
              <w:spacing w:after="0" w:line="240" w:lineRule="auto"/>
            </w:pPr>
            <w:r/>
            <w:r>
              <w:rPr>
                <w:rFonts w:ascii="Times New Roman" w:hAnsi="Times New Roman"/>
                <w:sz w:val="26"/>
              </w:rPr>
              <w:t>DISTRICT COURT</w:t>
            </w:r>
          </w:p>
          <w:p>
            <w:pPr>
              <w:spacing w:after="0" w:line="240" w:lineRule="auto"/>
            </w:pPr>
            <w:r>
              <w:rPr>
                <w:rFonts w:ascii="Times New Roman" w:hAnsi="Times New Roman"/>
                <w:sz w:val="26"/>
              </w:rPr>
              <w:t>FOURTH JUDICIAL DISTRICT</w:t>
            </w:r>
          </w:p>
          <w:p>
            <w:pPr>
              <w:spacing w:after="0" w:line="240" w:lineRule="auto"/>
            </w:pPr>
            <w:r>
              <w:rPr>
                <w:rFonts w:ascii="Times New Roman" w:hAnsi="Times New Roman"/>
                <w:sz w:val="26"/>
              </w:rPr>
              <w:t>Case Type: Civil — Other</w:t>
            </w:r>
          </w:p>
        </w:tc>
      </w:tr>
      <w:tr>
        <w:tc>
          <w:tcPr>
            <w:tcW w:type="dxa" w:w="4680"/>
          </w:tcPr>
          <w:p>
            <w:pPr>
              <w:spacing w:after="0" w:line="240" w:lineRule="auto"/>
            </w:pPr>
            <w:r/>
            <w:r>
              <w:rPr>
                <w:rFonts w:ascii="Times New Roman" w:hAnsi="Times New Roman"/>
                <w:sz w:val="26"/>
              </w:rPr>
              <w:t>Yibiao Lu and Jie Hu,</w:t>
            </w:r>
          </w:p>
          <w:p>
            <w:pPr>
              <w:spacing w:after="0" w:line="240" w:lineRule="auto"/>
            </w:pPr>
            <w:r>
              <w:rPr>
                <w:rFonts w:ascii="Times New Roman" w:hAnsi="Times New Roman"/>
                <w:sz w:val="26"/>
              </w:rPr>
            </w:r>
          </w:p>
          <w:p>
            <w:pPr>
              <w:spacing w:after="0" w:line="240" w:lineRule="auto"/>
            </w:pPr>
            <w:r>
              <w:rPr>
                <w:rFonts w:ascii="Times New Roman" w:hAnsi="Times New Roman"/>
                <w:sz w:val="26"/>
              </w:rPr>
              <w:t xml:space="preserve">                        Plaintiffs,</w:t>
            </w:r>
          </w:p>
          <w:p>
            <w:pPr>
              <w:spacing w:after="0" w:line="240" w:lineRule="auto"/>
            </w:pPr>
            <w:r>
              <w:rPr>
                <w:rFonts w:ascii="Times New Roman" w:hAnsi="Times New Roman"/>
                <w:sz w:val="26"/>
              </w:rPr>
              <w:t>v.</w:t>
            </w:r>
          </w:p>
          <w:p>
            <w:pPr>
              <w:spacing w:after="0" w:line="240" w:lineRule="auto"/>
            </w:pPr>
            <w:r>
              <w:rPr>
                <w:rFonts w:ascii="Times New Roman" w:hAnsi="Times New Roman"/>
                <w:sz w:val="26"/>
              </w:rPr>
            </w:r>
          </w:p>
          <w:p>
            <w:pPr>
              <w:spacing w:after="0" w:line="240" w:lineRule="auto"/>
            </w:pPr>
            <w:r>
              <w:rPr>
                <w:rFonts w:ascii="Times New Roman" w:hAnsi="Times New Roman"/>
                <w:sz w:val="26"/>
              </w:rPr>
              <w:t>Fire Insurance Exchange, by and through its attorney-in-fact, Fire Underwriters Association (d/b/a Farmers Insurance),</w:t>
            </w:r>
          </w:p>
          <w:p>
            <w:pPr>
              <w:spacing w:after="0" w:line="240" w:lineRule="auto"/>
            </w:pPr>
            <w:r>
              <w:rPr>
                <w:rFonts w:ascii="Times New Roman" w:hAnsi="Times New Roman"/>
                <w:sz w:val="26"/>
              </w:rPr>
            </w:r>
          </w:p>
          <w:p>
            <w:pPr>
              <w:spacing w:after="0" w:line="240" w:lineRule="auto"/>
            </w:pPr>
            <w:r>
              <w:rPr>
                <w:rFonts w:ascii="Times New Roman" w:hAnsi="Times New Roman"/>
                <w:sz w:val="26"/>
              </w:rPr>
              <w:t xml:space="preserve">                        Defendant.</w:t>
            </w:r>
          </w:p>
        </w:tc>
        <w:tc>
          <w:tcPr>
            <w:tcW w:type="dxa" w:w="4680"/>
          </w:tcPr>
          <w:p>
            <w:pPr>
              <w:spacing w:after="0" w:line="240" w:lineRule="auto"/>
            </w:pPr>
            <w:r/>
            <w:r>
              <w:rPr>
                <w:rFonts w:ascii="Times New Roman" w:hAnsi="Times New Roman"/>
                <w:sz w:val="26"/>
              </w:rPr>
              <w:t>Court File No. ____________</w:t>
            </w:r>
          </w:p>
          <w:p>
            <w:pPr>
              <w:spacing w:after="0" w:line="240" w:lineRule="auto"/>
            </w:pPr>
            <w:r>
              <w:rPr>
                <w:rFonts w:ascii="Times New Roman" w:hAnsi="Times New Roman"/>
                <w:sz w:val="26"/>
              </w:rPr>
            </w:r>
          </w:p>
          <w:p>
            <w:pPr>
              <w:spacing w:after="0" w:line="240" w:lineRule="auto"/>
            </w:pPr>
            <w:r>
              <w:rPr>
                <w:rFonts w:ascii="Times New Roman" w:hAnsi="Times New Roman"/>
                <w:sz w:val="26"/>
              </w:rPr>
              <w:t>CIVIL COVER SHEET</w:t>
            </w:r>
          </w:p>
          <w:p>
            <w:pPr>
              <w:spacing w:after="0" w:line="240" w:lineRule="auto"/>
            </w:pPr>
            <w:r>
              <w:rPr>
                <w:rFonts w:ascii="Times New Roman" w:hAnsi="Times New Roman"/>
                <w:sz w:val="26"/>
              </w:rPr>
              <w:t>(Non-Family Case Type)</w:t>
            </w:r>
          </w:p>
        </w:tc>
      </w:tr>
    </w:tbl>
    <w:p>
      <w:pPr>
        <w:spacing w:before="40" w:after="120"/>
        <w:pBdr>
          <w:bottom w:val="single" w:sz="6" w:space="1" w:color="000000"/>
        </w:pBdr>
      </w:pPr>
    </w:p>
    <w:p>
      <w:pPr>
        <w:spacing w:before="160" w:line="240" w:lineRule="auto"/>
        <w:jc w:val="center"/>
      </w:pPr>
      <w:r>
        <w:rPr>
          <w:rFonts w:ascii="Times New Roman" w:hAnsi="Times New Roman"/>
          <w:b/>
          <w:sz w:val="28"/>
        </w:rPr>
        <w:t>CIVIL COVER SHEET</w:t>
      </w:r>
    </w:p>
    <w:p>
      <w:pPr>
        <w:spacing w:after="160" w:line="360" w:lineRule="auto"/>
        <w:jc w:val="both"/>
      </w:pPr>
      <w:r>
        <w:rPr>
          <w:rFonts w:ascii="Times New Roman" w:hAnsi="Times New Roman"/>
          <w:b w:val="0"/>
          <w:i/>
          <w:sz w:val="26"/>
        </w:rPr>
        <w:t>This Civil Cover Sheet is filed under Minn. Gen. R. Prac. 104. It does not replace or supplement the pleadings or other papers as required by law or rule. It is filed by the initial filing party. Case types are based on Form 23, Subject Matter Index for Civil Cases, appended to the Minnesota Rules of Civil Procedure.</w:t>
      </w:r>
    </w:p>
    <w:p>
      <w:pPr>
        <w:spacing w:before="200" w:line="240" w:lineRule="auto"/>
        <w:jc w:val="center"/>
      </w:pPr>
      <w:r>
        <w:rPr>
          <w:rFonts w:ascii="Times New Roman" w:hAnsi="Times New Roman"/>
          <w:b/>
          <w:sz w:val="24"/>
        </w:rPr>
        <w:t>1. CASE INFORMATION</w:t>
      </w:r>
    </w:p>
    <w:p>
      <w:pPr>
        <w:spacing w:line="360" w:lineRule="auto" w:after="120"/>
      </w:pPr>
      <w:r>
        <w:rPr>
          <w:rFonts w:ascii="Times New Roman" w:hAnsi="Times New Roman"/>
          <w:b/>
          <w:sz w:val="26"/>
        </w:rPr>
        <w:t xml:space="preserve">Plaintiff(s):  </w:t>
      </w:r>
      <w:r>
        <w:rPr>
          <w:rFonts w:ascii="Times New Roman" w:hAnsi="Times New Roman"/>
          <w:sz w:val="26"/>
        </w:rPr>
        <w:t>Yibiao Lu and Jie Hu</w:t>
      </w:r>
    </w:p>
    <w:p>
      <w:pPr>
        <w:spacing w:line="360" w:lineRule="auto" w:after="120"/>
      </w:pPr>
      <w:r>
        <w:rPr>
          <w:rFonts w:ascii="Times New Roman" w:hAnsi="Times New Roman"/>
          <w:b/>
          <w:sz w:val="26"/>
        </w:rPr>
        <w:t xml:space="preserve">Defendant(s):  </w:t>
      </w:r>
      <w:r>
        <w:rPr>
          <w:rFonts w:ascii="Times New Roman" w:hAnsi="Times New Roman"/>
          <w:sz w:val="26"/>
        </w:rPr>
        <w:t>Fire Insurance Exchange, by and through its attorney-in-fact, Fire Underwriters Association (d/b/a Farmers Insurance)</w:t>
      </w:r>
    </w:p>
    <w:p>
      <w:pPr>
        <w:spacing w:line="360" w:lineRule="auto" w:after="120"/>
      </w:pPr>
      <w:r>
        <w:rPr>
          <w:rFonts w:ascii="Times New Roman" w:hAnsi="Times New Roman"/>
          <w:b/>
          <w:sz w:val="26"/>
        </w:rPr>
        <w:t xml:space="preserve">County / Judicial District:  </w:t>
      </w:r>
      <w:r>
        <w:rPr>
          <w:rFonts w:ascii="Times New Roman" w:hAnsi="Times New Roman"/>
          <w:sz w:val="26"/>
        </w:rPr>
        <w:t>Hennepin County / Fourth Judicial District</w:t>
      </w:r>
    </w:p>
    <w:p>
      <w:pPr>
        <w:spacing w:line="360" w:lineRule="auto" w:after="120"/>
      </w:pPr>
      <w:r>
        <w:rPr>
          <w:rFonts w:ascii="Times New Roman" w:hAnsi="Times New Roman"/>
          <w:b/>
          <w:sz w:val="26"/>
        </w:rPr>
        <w:t xml:space="preserve">Court File Number:  </w:t>
      </w:r>
      <w:r>
        <w:rPr>
          <w:rFonts w:ascii="Times New Roman" w:hAnsi="Times New Roman"/>
          <w:sz w:val="26"/>
        </w:rPr>
        <w:t>(assigned by Court Administrator)</w:t>
      </w:r>
    </w:p>
    <w:p>
      <w:pPr>
        <w:spacing w:before="200" w:line="240" w:lineRule="auto"/>
        <w:jc w:val="center"/>
      </w:pPr>
      <w:r>
        <w:rPr>
          <w:rFonts w:ascii="Times New Roman" w:hAnsi="Times New Roman"/>
          <w:b/>
          <w:sz w:val="24"/>
        </w:rPr>
        <w:t>2. CASE CATEGORY / TYPE (select the one most applicable)</w:t>
      </w:r>
    </w:p>
    <w:p>
      <w:pPr>
        <w:spacing w:after="80" w:line="360" w:lineRule="auto"/>
        <w:ind w:left="360"/>
        <w:jc w:val="both"/>
      </w:pPr>
      <w:r>
        <w:rPr>
          <w:rFonts w:ascii="Times New Roman" w:hAnsi="Times New Roman"/>
          <w:b w:val="0"/>
          <w:i w:val="0"/>
          <w:sz w:val="26"/>
        </w:rPr>
        <w:t xml:space="preserve">[ X ]  </w:t>
      </w:r>
      <w:r>
        <w:rPr>
          <w:rFonts w:ascii="Times New Roman" w:hAnsi="Times New Roman"/>
          <w:b/>
          <w:i w:val="0"/>
          <w:sz w:val="26"/>
        </w:rPr>
        <w:t>Contract</w:t>
      </w:r>
      <w:r>
        <w:rPr>
          <w:rFonts w:ascii="Times New Roman" w:hAnsi="Times New Roman"/>
          <w:b w:val="0"/>
          <w:i w:val="0"/>
          <w:sz w:val="26"/>
        </w:rPr>
        <w:t xml:space="preserve"> — breach of an insurance contract (homeowner's property insurance / hail loss coverage dispute).</w:t>
      </w:r>
    </w:p>
    <w:p>
      <w:pPr>
        <w:spacing w:after="80" w:line="360" w:lineRule="auto"/>
        <w:ind w:left="360"/>
        <w:jc w:val="both"/>
      </w:pPr>
      <w:r>
        <w:rPr>
          <w:rFonts w:ascii="Times New Roman" w:hAnsi="Times New Roman"/>
          <w:b w:val="0"/>
          <w:i w:val="0"/>
          <w:sz w:val="26"/>
        </w:rPr>
        <w:t xml:space="preserve">[ X ]  </w:t>
      </w:r>
      <w:r>
        <w:rPr>
          <w:rFonts w:ascii="Times New Roman" w:hAnsi="Times New Roman"/>
          <w:b/>
          <w:i w:val="0"/>
          <w:sz w:val="26"/>
        </w:rPr>
        <w:t>Other Civil</w:t>
      </w:r>
      <w:r>
        <w:rPr>
          <w:rFonts w:ascii="Times New Roman" w:hAnsi="Times New Roman"/>
          <w:b w:val="0"/>
          <w:i w:val="0"/>
          <w:sz w:val="26"/>
        </w:rPr>
        <w:t xml:space="preserve"> — Minnesota Consumer Fraud Act (Minn. Stat. § 325F.69) and declaratory judgment (Minn. Stat. ch. 555); review/non-preclusion of statutory appraisal award (Minn. Stat. § 65A.01).</w:t>
      </w:r>
    </w:p>
    <w:p>
      <w:pPr>
        <w:spacing w:after="80" w:line="360" w:lineRule="auto"/>
        <w:ind w:left="360"/>
        <w:jc w:val="both"/>
      </w:pPr>
      <w:r>
        <w:rPr>
          <w:rFonts w:ascii="Times New Roman" w:hAnsi="Times New Roman"/>
          <w:b w:val="0"/>
          <w:i w:val="0"/>
          <w:sz w:val="26"/>
        </w:rPr>
        <w:t>[   ]  Personal Injury   [   ]  Employment   [   ]  Property / Real Estate   [   ]  Other: ____________________</w:t>
      </w:r>
    </w:p>
    <w:p>
      <w:pPr>
        <w:spacing w:after="160" w:line="360" w:lineRule="auto"/>
        <w:ind w:left="360"/>
        <w:jc w:val="both"/>
      </w:pPr>
      <w:r>
        <w:rPr>
          <w:rFonts w:ascii="Times New Roman" w:hAnsi="Times New Roman"/>
          <w:b w:val="0"/>
          <w:i/>
          <w:sz w:val="26"/>
        </w:rPr>
        <w:t>Note: confirm the precise Form 23 case-type code with the Court Administrator at filing; “Contract” is the primary category for this insurance-coverage action.</w:t>
      </w:r>
    </w:p>
    <w:p>
      <w:pPr>
        <w:spacing w:before="200" w:line="240" w:lineRule="auto"/>
        <w:jc w:val="center"/>
      </w:pPr>
      <w:r>
        <w:rPr>
          <w:rFonts w:ascii="Times New Roman" w:hAnsi="Times New Roman"/>
          <w:b/>
          <w:sz w:val="24"/>
        </w:rPr>
        <w:t>3. JURY TRIAL DEMAND (Minn. R. Civ. P. 38.02)</w:t>
      </w:r>
    </w:p>
    <w:p>
      <w:pPr>
        <w:spacing w:after="80" w:line="360" w:lineRule="auto"/>
        <w:ind w:left="360"/>
        <w:jc w:val="both"/>
      </w:pPr>
      <w:r>
        <w:rPr>
          <w:rFonts w:ascii="Times New Roman" w:hAnsi="Times New Roman"/>
          <w:b w:val="0"/>
          <w:i w:val="0"/>
          <w:sz w:val="26"/>
        </w:rPr>
        <w:t xml:space="preserve">[ X ]  Jury trial is </w:t>
      </w:r>
      <w:r>
        <w:rPr>
          <w:rFonts w:ascii="Times New Roman" w:hAnsi="Times New Roman"/>
          <w:b/>
          <w:i w:val="0"/>
          <w:sz w:val="26"/>
        </w:rPr>
        <w:t>requested by Plaintiffs Yibiao Lu and Jie Hu</w:t>
      </w:r>
      <w:r>
        <w:rPr>
          <w:rFonts w:ascii="Times New Roman" w:hAnsi="Times New Roman"/>
          <w:b w:val="0"/>
          <w:i w:val="0"/>
          <w:sz w:val="26"/>
        </w:rPr>
        <w:t>.</w:t>
      </w:r>
    </w:p>
    <w:p>
      <w:pPr>
        <w:spacing w:after="160" w:line="360" w:lineRule="auto"/>
        <w:ind w:left="360"/>
        <w:jc w:val="both"/>
      </w:pPr>
      <w:r>
        <w:rPr>
          <w:rFonts w:ascii="Times New Roman" w:hAnsi="Times New Roman"/>
          <w:b w:val="0"/>
          <w:i w:val="0"/>
          <w:sz w:val="26"/>
        </w:rPr>
        <w:t>[   ]  Jury trial is waived by consent.</w:t>
      </w:r>
    </w:p>
    <w:p>
      <w:pPr>
        <w:spacing w:before="200" w:line="240" w:lineRule="auto"/>
        <w:jc w:val="center"/>
      </w:pPr>
      <w:r>
        <w:rPr>
          <w:rFonts w:ascii="Times New Roman" w:hAnsi="Times New Roman"/>
          <w:b/>
          <w:sz w:val="24"/>
        </w:rPr>
        <w:t>4. RELATED CASES</w:t>
      </w:r>
    </w:p>
    <w:p>
      <w:pPr>
        <w:spacing w:after="160" w:line="360" w:lineRule="auto"/>
        <w:ind w:left="360"/>
        <w:jc w:val="both"/>
      </w:pPr>
      <w:r>
        <w:rPr>
          <w:rFonts w:ascii="Times New Roman" w:hAnsi="Times New Roman"/>
          <w:b w:val="0"/>
          <w:i w:val="0"/>
          <w:sz w:val="26"/>
        </w:rPr>
        <w:t>Are there any related cases pending or previously filed (including the prior 2020 insurance claim or any Department of Commerce proceeding)?  [   ] Yes   [ X ] No (none known).  If yes, list case caption(s) and file number(s): ____________________</w:t>
      </w:r>
    </w:p>
    <w:p>
      <w:pPr>
        <w:spacing w:before="200" w:line="240" w:lineRule="auto"/>
        <w:jc w:val="center"/>
      </w:pPr>
      <w:r>
        <w:rPr>
          <w:rFonts w:ascii="Times New Roman" w:hAnsi="Times New Roman"/>
          <w:b/>
          <w:sz w:val="24"/>
        </w:rPr>
        <w:t>5. ALTERNATIVE DISPUTE RESOLUTION (Minn. Gen. R. Prac. 114)</w:t>
      </w:r>
    </w:p>
    <w:p>
      <w:pPr>
        <w:spacing w:after="160" w:line="360" w:lineRule="auto"/>
        <w:ind w:left="360"/>
        <w:jc w:val="both"/>
      </w:pPr>
      <w:r>
        <w:rPr>
          <w:rFonts w:ascii="Times New Roman" w:hAnsi="Times New Roman"/>
          <w:b w:val="0"/>
          <w:i w:val="0"/>
          <w:sz w:val="26"/>
        </w:rPr>
        <w:t>The parties have not yet agreed on an ADR process. Plaintiffs are willing to consider a non-binding ADR process (e.g., mediation) as the Court may direct.</w:t>
      </w:r>
    </w:p>
    <w:p>
      <w:pPr>
        <w:spacing w:before="200" w:line="240" w:lineRule="auto"/>
        <w:jc w:val="center"/>
      </w:pPr>
      <w:r>
        <w:rPr>
          <w:rFonts w:ascii="Times New Roman" w:hAnsi="Times New Roman"/>
          <w:b/>
          <w:sz w:val="24"/>
        </w:rPr>
        <w:t>6. TRIAL INFORMATION</w:t>
      </w:r>
    </w:p>
    <w:p>
      <w:pPr>
        <w:spacing w:line="360" w:lineRule="auto" w:after="120"/>
      </w:pPr>
      <w:r>
        <w:rPr>
          <w:rFonts w:ascii="Times New Roman" w:hAnsi="Times New Roman"/>
          <w:b/>
          <w:sz w:val="26"/>
        </w:rPr>
        <w:t xml:space="preserve">Estimated trial time (days):  </w:t>
      </w:r>
      <w:r>
        <w:rPr>
          <w:rFonts w:ascii="Times New Roman" w:hAnsi="Times New Roman"/>
          <w:sz w:val="26"/>
        </w:rPr>
        <w:t>3 to 4 days (estimate)</w:t>
      </w:r>
    </w:p>
    <w:p>
      <w:pPr>
        <w:spacing w:line="360" w:lineRule="auto" w:after="120"/>
      </w:pPr>
      <w:r>
        <w:rPr>
          <w:rFonts w:ascii="Times New Roman" w:hAnsi="Times New Roman"/>
          <w:b/>
          <w:sz w:val="26"/>
        </w:rPr>
        <w:t xml:space="preserve">Proposed trial start date:  </w:t>
      </w:r>
      <w:r>
        <w:rPr>
          <w:rFonts w:ascii="Times New Roman" w:hAnsi="Times New Roman"/>
          <w:sz w:val="26"/>
        </w:rPr>
        <w:t>(to be set by the Court)</w:t>
      </w:r>
    </w:p>
    <w:p>
      <w:pPr>
        <w:spacing w:line="360" w:lineRule="auto" w:after="120"/>
      </w:pPr>
      <w:r>
        <w:rPr>
          <w:rFonts w:ascii="Times New Roman" w:hAnsi="Times New Roman"/>
          <w:b/>
          <w:sz w:val="26"/>
        </w:rPr>
        <w:t xml:space="preserve">Amount in controversy:  </w:t>
      </w:r>
      <w:r>
        <w:rPr>
          <w:rFonts w:ascii="Times New Roman" w:hAnsi="Times New Roman"/>
          <w:sz w:val="26"/>
        </w:rPr>
        <w:t>In excess of $50,000 (exclusive of interest, costs, and attorney fees)</w:t>
      </w:r>
    </w:p>
    <w:p>
      <w:pPr>
        <w:spacing w:before="200" w:line="240" w:lineRule="auto"/>
        <w:jc w:val="center"/>
      </w:pPr>
      <w:r>
        <w:rPr>
          <w:rFonts w:ascii="Times New Roman" w:hAnsi="Times New Roman"/>
          <w:b/>
          <w:sz w:val="24"/>
        </w:rPr>
        <w:t>7. FILING PARTY</w:t>
      </w:r>
    </w:p>
    <w:p>
      <w:pPr>
        <w:spacing w:after="80" w:line="360" w:lineRule="auto"/>
        <w:ind w:left="360"/>
        <w:jc w:val="both"/>
      </w:pPr>
      <w:r>
        <w:rPr>
          <w:rFonts w:ascii="Times New Roman" w:hAnsi="Times New Roman"/>
          <w:b w:val="0"/>
          <w:i w:val="0"/>
          <w:sz w:val="26"/>
        </w:rPr>
        <w:t>Self-represented (Pro Se) — no attorney registration number.</w:t>
      </w:r>
    </w:p>
    <w:p>
      <w:pPr>
        <w:spacing w:after="120" w:line="240" w:lineRule="auto"/>
        <w:jc w:val="left"/>
      </w:pPr>
      <w:r>
        <w:rPr>
          <w:rFonts w:ascii="Times New Roman" w:hAnsi="Times New Roman"/>
          <w:b w:val="0"/>
          <w:i w:val="0"/>
          <w:sz w:val="26"/>
        </w:rPr>
        <w:t>Dated: __________________, 2026.</w:t>
      </w:r>
    </w:p>
    <w:p>
      <w:pPr>
        <w:spacing w:after="40" w:line="240" w:lineRule="auto"/>
        <w:jc w:val="both"/>
      </w:pPr>
    </w:p>
    <w:p>
      <w:pPr>
        <w:spacing w:after="0" w:line="240" w:lineRule="auto"/>
        <w:jc w:val="left"/>
      </w:pPr>
      <w:r>
        <w:rPr>
          <w:rFonts w:ascii="Times New Roman" w:hAnsi="Times New Roman"/>
          <w:b w:val="0"/>
          <w:i w:val="0"/>
          <w:sz w:val="26"/>
        </w:rPr>
        <w:t>____________________________________</w:t>
      </w:r>
    </w:p>
    <w:p>
      <w:pPr>
        <w:spacing w:after="0" w:line="240" w:lineRule="auto"/>
        <w:jc w:val="left"/>
      </w:pPr>
      <w:r>
        <w:rPr>
          <w:rFonts w:ascii="Times New Roman" w:hAnsi="Times New Roman"/>
          <w:b w:val="0"/>
          <w:i w:val="0"/>
          <w:sz w:val="26"/>
        </w:rPr>
        <w:t>Yibiao Lu, Plaintiff Pro Se</w:t>
      </w:r>
    </w:p>
    <w:p>
      <w:pPr>
        <w:spacing w:after="0" w:line="240" w:lineRule="auto"/>
        <w:jc w:val="left"/>
      </w:pPr>
      <w:r>
        <w:rPr>
          <w:rFonts w:ascii="Times New Roman" w:hAnsi="Times New Roman"/>
          <w:b w:val="0"/>
          <w:i w:val="0"/>
          <w:sz w:val="26"/>
        </w:rPr>
        <w:t>17756 George Moran Dr.</w:t>
      </w:r>
    </w:p>
    <w:p>
      <w:pPr>
        <w:spacing w:after="0" w:line="240" w:lineRule="auto"/>
        <w:jc w:val="left"/>
      </w:pPr>
      <w:r>
        <w:rPr>
          <w:rFonts w:ascii="Times New Roman" w:hAnsi="Times New Roman"/>
          <w:b w:val="0"/>
          <w:i w:val="0"/>
          <w:sz w:val="26"/>
        </w:rPr>
        <w:t>Eden Prairie, MN 55347</w:t>
      </w:r>
    </w:p>
    <w:p>
      <w:pPr>
        <w:spacing w:after="0" w:line="240" w:lineRule="auto"/>
        <w:jc w:val="left"/>
      </w:pPr>
      <w:r>
        <w:rPr>
          <w:rFonts w:ascii="Times New Roman" w:hAnsi="Times New Roman"/>
          <w:b w:val="0"/>
          <w:i w:val="0"/>
          <w:sz w:val="26"/>
        </w:rPr>
        <w:t>Telephone: ____________________</w:t>
      </w:r>
    </w:p>
    <w:p>
      <w:pPr>
        <w:spacing w:after="0" w:line="240" w:lineRule="auto"/>
        <w:jc w:val="left"/>
      </w:pPr>
      <w:r>
        <w:rPr>
          <w:rFonts w:ascii="Times New Roman" w:hAnsi="Times New Roman"/>
          <w:b w:val="0"/>
          <w:i w:val="0"/>
          <w:sz w:val="26"/>
        </w:rPr>
        <w:t>Email: ____________________</w:t>
      </w:r>
    </w:p>
    <w:p>
      <w:pPr>
        <w:spacing w:after="40" w:line="240" w:lineRule="auto"/>
        <w:jc w:val="both"/>
      </w:pPr>
    </w:p>
    <w:p>
      <w:pPr>
        <w:spacing w:after="0" w:line="240" w:lineRule="auto"/>
        <w:jc w:val="left"/>
      </w:pPr>
      <w:r>
        <w:rPr>
          <w:rFonts w:ascii="Times New Roman" w:hAnsi="Times New Roman"/>
          <w:b w:val="0"/>
          <w:i w:val="0"/>
          <w:sz w:val="26"/>
        </w:rPr>
        <w:t>____________________________________</w:t>
      </w:r>
    </w:p>
    <w:p>
      <w:pPr>
        <w:spacing w:after="0" w:line="240" w:lineRule="auto"/>
        <w:jc w:val="left"/>
      </w:pPr>
      <w:r>
        <w:rPr>
          <w:rFonts w:ascii="Times New Roman" w:hAnsi="Times New Roman"/>
          <w:b w:val="0"/>
          <w:i w:val="0"/>
          <w:sz w:val="26"/>
        </w:rPr>
        <w:t>Jie Hu, Plaintiff Pro Se</w:t>
      </w:r>
    </w:p>
    <w:p>
      <w:pPr>
        <w:spacing w:after="0" w:line="240" w:lineRule="auto"/>
        <w:jc w:val="left"/>
      </w:pPr>
      <w:r>
        <w:rPr>
          <w:rFonts w:ascii="Times New Roman" w:hAnsi="Times New Roman"/>
          <w:b w:val="0"/>
          <w:i w:val="0"/>
          <w:sz w:val="26"/>
        </w:rPr>
        <w:t>17756 George Moran Dr.</w:t>
      </w:r>
    </w:p>
    <w:p>
      <w:pPr>
        <w:spacing w:after="0" w:line="240" w:lineRule="auto"/>
        <w:jc w:val="left"/>
      </w:pPr>
      <w:r>
        <w:rPr>
          <w:rFonts w:ascii="Times New Roman" w:hAnsi="Times New Roman"/>
          <w:b w:val="0"/>
          <w:i w:val="0"/>
          <w:sz w:val="26"/>
        </w:rPr>
        <w:t>Eden Prairie, MN 55347</w:t>
      </w:r>
    </w:p>
    <w:p>
      <w:pPr>
        <w:spacing w:after="0" w:line="240" w:lineRule="auto"/>
        <w:jc w:val="left"/>
      </w:pPr>
      <w:r>
        <w:rPr>
          <w:rFonts w:ascii="Times New Roman" w:hAnsi="Times New Roman"/>
          <w:b w:val="0"/>
          <w:i w:val="0"/>
          <w:sz w:val="26"/>
        </w:rPr>
        <w:t>Telephone: ____________________</w:t>
      </w:r>
    </w:p>
    <w:p>
      <w:pPr>
        <w:spacing w:after="0" w:line="240" w:lineRule="auto"/>
        <w:jc w:val="left"/>
      </w:pPr>
      <w:r>
        <w:rPr>
          <w:rFonts w:ascii="Times New Roman" w:hAnsi="Times New Roman"/>
          <w:b w:val="0"/>
          <w:i w:val="0"/>
          <w:sz w:val="26"/>
        </w:rPr>
        <w:t>Email: ____________________</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60"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