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center"/>
      </w:pPr>
      <w:r>
        <w:rPr>
          <w:rFonts w:ascii="Times New Roman" w:hAnsi="Times New Roman"/>
          <w:b/>
          <w:sz w:val="30"/>
        </w:rPr>
        <w:t>FILING CHECKLIST &amp; SERVICE GUIDE</w:t>
      </w:r>
    </w:p>
    <w:p>
      <w:pPr>
        <w:spacing w:before="40" w:line="240" w:lineRule="auto"/>
        <w:jc w:val="center"/>
      </w:pPr>
      <w:r>
        <w:rPr>
          <w:rFonts w:ascii="Times New Roman" w:hAnsi="Times New Roman"/>
          <w:b/>
          <w:sz w:val="22"/>
        </w:rPr>
        <w:t>Lu &amp; Hu v. Fire Insurance Exchange — Hennepin County District Court (Fourth Judicial District)</w:t>
      </w:r>
    </w:p>
    <w:p>
      <w:pPr>
        <w:spacing w:line="259" w:lineRule="auto" w:after="200"/>
        <w:jc w:val="both"/>
      </w:pPr>
      <w:r>
        <w:rPr>
          <w:rFonts w:ascii="Times New Roman" w:hAnsi="Times New Roman"/>
          <w:b w:val="0"/>
          <w:i/>
          <w:sz w:val="26"/>
        </w:rPr>
        <w:t>Working reference — not a court document. Do not file. Verify fees, addresses, and deadlines with the Court Administrator and the Department of Commerce before acting. This is general information, not legal advice.</w:t>
      </w:r>
    </w:p>
    <w:p>
      <w:pPr>
        <w:spacing w:before="200" w:line="240" w:lineRule="auto"/>
        <w:jc w:val="left"/>
      </w:pPr>
      <w:r>
        <w:rPr>
          <w:rFonts w:ascii="Times New Roman" w:hAnsi="Times New Roman"/>
          <w:b/>
          <w:sz w:val="24"/>
        </w:rPr>
        <w:t>STEP 1 — Finalize the documents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Fill every blank: signature dates, telephone, and email on the Complaint, Summons, and Civil Cover Sheet signature blocks.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Both Plaintiffs (Yibiao Lu and Jie Hu) sign the Complaint and the Summons.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Confirm the Complaint's Appendices A and B are removed (the filing copy, Complaint …_v2.docx, already excludes them).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Re-check the deadline analysis (Appendix A gates V-4/V-5: the MN080 / Minn. Stat. § 65A.26 one-year hail-limitation question). File well before 7/13/2026 regardless.</w:t>
      </w:r>
    </w:p>
    <w:p>
      <w:pPr>
        <w:spacing w:before="200" w:line="240" w:lineRule="auto"/>
        <w:jc w:val="left"/>
      </w:pPr>
      <w:r>
        <w:rPr>
          <w:rFonts w:ascii="Times New Roman" w:hAnsi="Times New Roman"/>
          <w:b/>
          <w:sz w:val="24"/>
        </w:rPr>
        <w:t>STEP 2 — Serve BEFORE filing (Minnesota commences an action by service, Minn. R. Civ. P. 3)</w:t>
      </w:r>
    </w:p>
    <w:p>
      <w:pPr>
        <w:spacing w:line="259" w:lineRule="auto" w:after="80"/>
        <w:ind w:left="720"/>
        <w:jc w:val="both"/>
      </w:pPr>
      <w:r>
        <w:rPr>
          <w:rFonts w:ascii="Times New Roman" w:hAnsi="Times New Roman"/>
          <w:b w:val="0"/>
          <w:i w:val="0"/>
          <w:sz w:val="26"/>
        </w:rPr>
        <w:t>In Minnesota you serve the Summons and Complaint on the Defendant first; you file with the court afterward, within the statutory window, together with proof of service.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Use a server who is at least 18 and NOT a party — a sheriff or a private process server (Minn. R. Civ. P. 4.02). Plaintiffs may not serve their own case.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Serve a complete set on the Defendant: Summons + Complaint (+ Civil Cover Sheet is filed, not required to be served, but serving it is harmless).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Choose a service method for Fire Insurance Exchange (a reciprocal insurer):</w:t>
      </w:r>
    </w:p>
    <w:p>
      <w:pPr>
        <w:spacing w:line="259" w:lineRule="auto" w:after="80"/>
        <w:ind w:left="720"/>
        <w:jc w:val="left"/>
      </w:pPr>
      <w:r>
        <w:rPr>
          <w:rFonts w:ascii="Times New Roman" w:hAnsi="Times New Roman"/>
          <w:b w:val="0"/>
          <w:i w:val="0"/>
          <w:sz w:val="26"/>
        </w:rPr>
        <w:t>[  ]  Method A (recommended for insurers): serve the Commissioner of Commerce as statutory agent under Minn. Stat. § 45.028, subd. 2 — personal delivery or certified mail (return receipt) to the Minnesota Department of Commerce. Keep the certified-mail/return receipt and file any required Affidavit of Compliance.</w:t>
      </w:r>
    </w:p>
    <w:p>
      <w:pPr>
        <w:spacing w:line="259" w:lineRule="auto" w:after="80"/>
        <w:ind w:left="720"/>
        <w:jc w:val="left"/>
      </w:pPr>
      <w:r>
        <w:rPr>
          <w:rFonts w:ascii="Times New Roman" w:hAnsi="Times New Roman"/>
          <w:b w:val="0"/>
          <w:i w:val="0"/>
          <w:sz w:val="26"/>
        </w:rPr>
        <w:t>[  ]  Method B: serve the Defendant's registered agent / an officer or managing agent under Minn. R. Civ. P. 4.03(c). Look up the current registered agent through the Minnesota Secretary of State business filings.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Complete the Affidavit of Service (Minn. R. Civ. P. 4.06) — it must state the time, place, and manner of service.</w:t>
      </w:r>
    </w:p>
    <w:p>
      <w:pPr>
        <w:spacing w:before="200" w:line="240" w:lineRule="auto"/>
        <w:jc w:val="left"/>
      </w:pPr>
      <w:r>
        <w:rPr>
          <w:rFonts w:ascii="Times New Roman" w:hAnsi="Times New Roman"/>
          <w:b/>
          <w:sz w:val="24"/>
        </w:rPr>
        <w:t>STEP 3 — File with the court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Assemble the packet: Summons, Complaint, Civil Cover Sheet (CIV117), and Affidavit/Proof of Service.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Filing fee: approximately $322 in Hennepin County (base $310 under Minn. Stat. § 357.021, subd. 2(1) + $12 county law-library fee). Verify the current amount before filing.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Cannot afford the fee? File an In Forma Pauperis (fee-waiver) application — Minn. Stat. § 563.01, forms IFP101 (application) and IFP102 (order).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File electronically through Minnesota eFS (eFile &amp; eServe / mycourtmn). Self-represented filers MAY e-file or file on paper; attorneys must e-file. E-filed documents must be text-searchable PDFs that meet the Registered User Guide format (Minn. Gen. R. Prac. 14).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File within the statutory window after service and pay the fee (or file the IFP application).</w:t>
      </w:r>
    </w:p>
    <w:p>
      <w:pPr>
        <w:spacing w:before="200" w:line="240" w:lineRule="auto"/>
        <w:jc w:val="left"/>
      </w:pPr>
      <w:r>
        <w:rPr>
          <w:rFonts w:ascii="Times New Roman" w:hAnsi="Times New Roman"/>
          <w:b/>
          <w:sz w:val="24"/>
        </w:rPr>
        <w:t>STEP 4 — After filing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Calendar the Defendant's deadline to serve an Answer: 20 days after service of the Summons (Minn. R. Civ. P. 12.01). If no Answer, you may move for default judgment (Minn. R. Civ. P. 55).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Watch for the court's scheduling requirements (e.g., an Informational Statement / scheduling order under Minn. Gen. R. Prac. 111).</w:t>
      </w:r>
    </w:p>
    <w:p>
      <w:pPr>
        <w:spacing w:line="259" w:lineRule="auto" w:after="80"/>
        <w:ind w:left="360"/>
        <w:jc w:val="left"/>
      </w:pPr>
      <w:r>
        <w:rPr>
          <w:rFonts w:ascii="Times New Roman" w:hAnsi="Times New Roman"/>
          <w:b w:val="0"/>
          <w:i w:val="0"/>
          <w:sz w:val="26"/>
        </w:rPr>
        <w:t>[  ]  Keep originals of the signed Summons, proof of service, and certified-mail receipts.</w:t>
      </w:r>
    </w:p>
    <w:p>
      <w:pPr>
        <w:spacing w:line="259" w:lineRule="auto" w:after="120"/>
        <w:jc w:val="both"/>
      </w:pPr>
      <w:r>
        <w:rPr>
          <w:rFonts w:ascii="Times New Roman" w:hAnsi="Times New Roman"/>
          <w:b w:val="0"/>
          <w:i w:val="0"/>
          <w:sz w:val="26"/>
        </w:rPr>
        <w:t>Key authorities: Minn. R. Civ. P. 3 (commencement), 4.01–4.06 (summons &amp; service), 12.01 (answer time); Minn. Stat. § 45.028 (service on insurers via Commissioner of Commerce); Minn. Stat. § 357.021 (filing fees); Minn. Stat. § 563.01 (IFP); Minn. Gen. R. Prac. 6, 14, 104, 111, 114.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