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t>STATE OF MINNESOTA</w:t>
            </w:r>
          </w:p>
          <w:p>
            <w:pPr>
              <w:spacing w:after="0" w:before="0" w:line="240" w:lineRule="auto"/>
            </w:pPr>
            <w:r>
              <w:t>COUNTY OF HENNEPIN</w:t>
            </w:r>
          </w:p>
          <w:p>
            <w:pPr>
              <w:spacing w:after="0" w:before="0" w:line="240" w:lineRule="auto"/>
            </w:pPr>
          </w:p>
          <w:p>
            <w:pPr>
              <w:spacing w:after="0" w:before="0" w:line="240" w:lineRule="auto"/>
            </w:pPr>
            <w:r>
              <w:t>Yibiao Lu and Jie Hu,</w:t>
            </w:r>
          </w:p>
          <w:p>
            <w:pPr>
              <w:spacing w:after="0" w:before="0" w:line="240" w:lineRule="auto"/>
            </w:pPr>
            <w:r>
              <w:tab/>
              <w:tab/>
              <w:tab/>
              <w:t>Plaintiffs,</w:t>
            </w:r>
          </w:p>
          <w:p>
            <w:pPr>
              <w:spacing w:after="0" w:before="0" w:line="240" w:lineRule="auto"/>
            </w:pPr>
          </w:p>
          <w:p>
            <w:pPr>
              <w:spacing w:after="0" w:before="0" w:line="240" w:lineRule="auto"/>
            </w:pPr>
            <w:r>
              <w:t>vs.</w:t>
            </w:r>
          </w:p>
          <w:p>
            <w:pPr>
              <w:spacing w:after="0" w:before="0" w:line="240" w:lineRule="auto"/>
            </w:pPr>
          </w:p>
          <w:p>
            <w:pPr>
              <w:spacing w:after="0" w:before="0" w:line="240" w:lineRule="auto"/>
            </w:pPr>
            <w:r>
              <w:t>Fire Insurance Exchange, by and through its attorney-in-fact Fire Underwriters Association, doing business as Farmers Insurance,</w:t>
            </w:r>
          </w:p>
          <w:p>
            <w:pPr>
              <w:spacing w:after="0" w:before="0" w:line="240" w:lineRule="auto"/>
            </w:pPr>
          </w:p>
          <w:p>
            <w:pPr>
              <w:spacing w:after="0" w:before="0" w:line="240" w:lineRule="auto"/>
            </w:pPr>
            <w:r>
              <w:tab/>
              <w:tab/>
              <w:tab/>
              <w:t>Defendant.</w:t>
            </w:r>
          </w:p>
        </w:tc>
        <w:tc>
          <w:tcPr>
            <w:tcW w:type="dxa" w:w="4460"/>
          </w:tcPr>
          <w:p>
            <w:pPr>
              <w:spacing w:after="0" w:before="0" w:line="240" w:lineRule="auto"/>
            </w:pPr>
            <w:r>
              <w:t>DISTRICT COURT</w:t>
            </w:r>
          </w:p>
          <w:p>
            <w:pPr>
              <w:spacing w:after="0" w:before="0" w:line="240" w:lineRule="auto"/>
            </w:pPr>
            <w:r>
              <w:t>FOURTH JUDICIAL DISTRICT</w:t>
            </w:r>
          </w:p>
          <w:p>
            <w:pPr>
              <w:spacing w:after="0" w:before="0" w:line="240" w:lineRule="auto"/>
            </w:pPr>
          </w:p>
          <w:p>
            <w:pPr>
              <w:spacing w:after="0" w:before="0" w:line="240" w:lineRule="auto"/>
            </w:pPr>
            <w:r>
              <w:t>Case Type: Contract</w:t>
            </w:r>
          </w:p>
          <w:p>
            <w:pPr>
              <w:spacing w:after="0" w:before="0" w:line="240" w:lineRule="auto"/>
            </w:pPr>
          </w:p>
          <w:p>
            <w:pPr>
              <w:spacing w:after="0" w:before="0" w:line="240" w:lineRule="auto"/>
            </w:pPr>
            <w:r>
              <w:t>Court File No. 27-CV-26-11606</w:t>
            </w:r>
          </w:p>
          <w:p>
            <w:pPr>
              <w:spacing w:after="0" w:before="0" w:line="240" w:lineRule="auto"/>
            </w:pPr>
          </w:p>
          <w:p>
            <w:pPr>
              <w:spacing w:after="0" w:before="0" w:line="240" w:lineRule="auto"/>
            </w:pPr>
            <w:r>
              <w:t>Judge: Jamie Anderson</w:t>
            </w:r>
          </w:p>
        </w:tc>
      </w:tr>
    </w:tbl>
    <w:p>
      <w:pPr>
        <w:spacing w:after="0" w:before="0" w:line="240" w:lineRule="auto"/>
      </w:pPr>
    </w:p>
    <w:p>
      <w:pPr>
        <w:spacing w:after="0" w:before="0" w:line="240" w:lineRule="auto"/>
        <w:jc w:val="center"/>
      </w:pPr>
      <w:r>
        <w:rPr>
          <w:b/>
          <w:i w:val="0"/>
        </w:rPr>
        <w:t>PLAINTIFFS’ PROPOSED DISCOVERY PLAN (RULE 26.06)</w:t>
      </w:r>
    </w:p>
    <w:p>
      <w:pPr>
        <w:spacing w:after="0" w:before="0" w:line="240" w:lineRule="auto"/>
        <w:jc w:val="center"/>
      </w:pPr>
      <w:r>
        <w:rPr>
          <w:b/>
          <w:i w:val="0"/>
        </w:rPr>
        <w:t>AND INFORMATIONAL STATEMENT (RULE 111)</w:t>
      </w:r>
    </w:p>
    <w:p>
      <w:pPr>
        <w:spacing w:after="0" w:before="0" w:line="240" w:lineRule="auto"/>
      </w:pPr>
    </w:p>
    <w:p>
      <w:pPr>
        <w:spacing w:after="160" w:before="0" w:line="240" w:lineRule="auto"/>
      </w:pPr>
      <w:r>
        <w:rPr>
          <w:b w:val="0"/>
        </w:rPr>
        <w:t>Plaintiffs Yibiao Lu and Jie Hu, appearing pro se, submit this proposed discovery plan under Minn. R. Civ. P. 26.06 and the following informational statement under Minn. Gen. R. Prac. 111. Defendant’s Answer is dated August 10, 2026. Plaintiffs propose that the parties confer as required by Rule 26.06(a) and, if possible, submit a joint statement; if the parties cannot agree, each party may submit its own statement. All dates below are proposals subject to the parties’ conferral and to the Court’s scheduling order.</w:t>
      </w:r>
    </w:p>
    <w:p>
      <w:pPr>
        <w:spacing w:after="0" w:before="80" w:line="240" w:lineRule="auto"/>
      </w:pPr>
      <w:r>
        <w:rPr>
          <w:b/>
          <w:i w:val="0"/>
        </w:rPr>
        <w:t>PART I — DISCOVERY PLAN (MINN. R. CIV. P. 26.06)</w:t>
      </w:r>
    </w:p>
    <w:p>
      <w:pPr>
        <w:spacing w:after="0" w:before="0" w:line="240" w:lineRule="auto"/>
      </w:pPr>
    </w:p>
    <w:p>
      <w:pPr>
        <w:spacing w:after="80" w:before="0" w:line="240" w:lineRule="auto"/>
      </w:pPr>
      <w:r>
        <w:rPr>
          <w:b/>
          <w:i w:val="0"/>
        </w:rPr>
        <w:t>A.  Rule 26.06(a) Conference and Rule 26.01 Initial Disclosures</w:t>
      </w:r>
    </w:p>
    <w:p>
      <w:pPr>
        <w:spacing w:after="120" w:before="0" w:line="240" w:lineRule="auto"/>
        <w:ind w:left="360"/>
      </w:pPr>
      <w:r>
        <w:rPr>
          <w:b/>
        </w:rPr>
        <w:t xml:space="preserve">1.  </w:t>
      </w:r>
      <w:r>
        <w:t>The parties shall confer as soon as practicable, and in any event within 30 days after the initial due date for the Answer, regarding the nature and basis of the claims and defenses, the possibility of settlement, arrangements for initial disclosures, and this discovery plan.</w:t>
      </w:r>
    </w:p>
    <w:p>
      <w:pPr>
        <w:spacing w:after="120" w:before="0" w:line="240" w:lineRule="auto"/>
        <w:ind w:left="360"/>
      </w:pPr>
      <w:r>
        <w:rPr>
          <w:b/>
        </w:rPr>
        <w:t xml:space="preserve">2.  </w:t>
      </w:r>
      <w:r>
        <w:t>The parties shall exchange initial disclosures under Rule 26.01(a) at or within 60 days after the original due date for the Answer, unless the parties stipulate or the Court orders otherwise.</w:t>
      </w:r>
    </w:p>
    <w:p>
      <w:pPr>
        <w:spacing w:after="0" w:before="0" w:line="240" w:lineRule="auto"/>
      </w:pPr>
    </w:p>
    <w:p>
      <w:pPr>
        <w:spacing w:after="80" w:before="0" w:line="240" w:lineRule="auto"/>
      </w:pPr>
      <w:r>
        <w:rPr>
          <w:b/>
          <w:i w:val="0"/>
        </w:rPr>
        <w:t>B.  Subjects on Which Discovery Will Be Needed (Rule 26.06(c)(2))</w:t>
      </w:r>
    </w:p>
    <w:p>
      <w:pPr>
        <w:spacing w:after="80" w:before="0" w:line="240" w:lineRule="auto"/>
        <w:ind w:left="720" w:hanging="360"/>
      </w:pPr>
      <w:r>
        <w:t xml:space="preserve">•  </w:t>
      </w:r>
      <w:r>
        <w:t>The cause, extent, and location of the July 13, 2024 hail damage to the windows and other exterior components of the Property, including all windows and components not evaluated by the appraisal panel;</w:t>
      </w:r>
    </w:p>
    <w:p>
      <w:pPr>
        <w:spacing w:after="80" w:before="0" w:line="240" w:lineRule="auto"/>
        <w:ind w:left="720" w:hanging="360"/>
      </w:pPr>
      <w:r>
        <w:t xml:space="preserve">•  </w:t>
      </w:r>
      <w:r>
        <w:t>The scope and methodology of the three inspections (Hancock, Brau, and Prieve), including the decision to scope the Prieve engagement to “windows only”;</w:t>
      </w:r>
    </w:p>
    <w:p>
      <w:pPr>
        <w:spacing w:after="80" w:before="0" w:line="240" w:lineRule="auto"/>
        <w:ind w:left="720" w:hanging="360"/>
      </w:pPr>
      <w:r>
        <w:t xml:space="preserve">•  </w:t>
      </w:r>
      <w:r>
        <w:t>Defendant’s claim-handling, the two denials (September 3 and November 4, 2024), and the “engineer’s report only” evidentiary rule;</w:t>
      </w:r>
    </w:p>
    <w:p>
      <w:pPr>
        <w:spacing w:after="80" w:before="0" w:line="240" w:lineRule="auto"/>
        <w:ind w:left="720" w:hanging="360"/>
      </w:pPr>
      <w:r>
        <w:t xml:space="preserve">•  </w:t>
      </w:r>
      <w:r>
        <w:t>The 2020 claim, the 2020 Xactimate and photo log, and Defendant’s “prior payment” and “no hail after 2020” theories;</w:t>
      </w:r>
    </w:p>
    <w:p>
      <w:pPr>
        <w:spacing w:after="80" w:before="0" w:line="240" w:lineRule="auto"/>
        <w:ind w:left="720" w:hanging="360"/>
      </w:pPr>
      <w:r>
        <w:t xml:space="preserve">•  </w:t>
      </w:r>
      <w:r>
        <w:t>The September 12, 2025 appraisal award, its scope and itemization, and the umpire’s and appraisers’ files;</w:t>
      </w:r>
    </w:p>
    <w:p>
      <w:pPr>
        <w:spacing w:after="80" w:before="0" w:line="240" w:lineRule="auto"/>
        <w:ind w:left="720" w:hanging="360"/>
      </w:pPr>
      <w:r>
        <w:t xml:space="preserve">•  </w:t>
      </w:r>
      <w:r>
        <w:t>Defendant’s document retention and the existence or loss of the Brau September 6, 2024 inspection records (preservation/spoliation); and</w:t>
      </w:r>
    </w:p>
    <w:p>
      <w:pPr>
        <w:spacing w:after="80" w:before="0" w:line="240" w:lineRule="auto"/>
        <w:ind w:left="720" w:hanging="360"/>
      </w:pPr>
      <w:r>
        <w:t xml:space="preserve">•  </w:t>
      </w:r>
      <w:r>
        <w:t>Facts relevant to Plaintiffs’ Consumer Fraud Act claim and to any first-party bad-faith motion under Minn. Stat. § 604.18.</w:t>
      </w:r>
    </w:p>
    <w:p>
      <w:pPr>
        <w:spacing w:after="0" w:before="0" w:line="240" w:lineRule="auto"/>
      </w:pPr>
    </w:p>
    <w:p>
      <w:pPr>
        <w:spacing w:after="80" w:before="0" w:line="240" w:lineRule="auto"/>
      </w:pPr>
      <w:r>
        <w:rPr>
          <w:b/>
          <w:i w:val="0"/>
        </w:rPr>
        <w:t>C.  Phasing, ESI, Privilege, and Limits (Rule 26.06(c)(1),(3)-(5))</w:t>
      </w:r>
    </w:p>
    <w:p>
      <w:pPr>
        <w:spacing w:after="120" w:before="0" w:line="240" w:lineRule="auto"/>
        <w:ind w:left="360"/>
      </w:pPr>
      <w:r>
        <w:rPr>
          <w:b/>
        </w:rPr>
        <w:t xml:space="preserve">1.  </w:t>
      </w:r>
      <w:r>
        <w:t>Phasing. Plaintiffs propose that discovery proceed without formal phasing, with fact discovery preceding expert discovery on the schedule set out in Part I.E.</w:t>
      </w:r>
    </w:p>
    <w:p>
      <w:pPr>
        <w:spacing w:after="120" w:before="0" w:line="240" w:lineRule="auto"/>
        <w:ind w:left="360"/>
      </w:pPr>
      <w:r>
        <w:rPr>
          <w:b/>
        </w:rPr>
        <w:t xml:space="preserve">2.  </w:t>
      </w:r>
      <w:r>
        <w:t>Electronically stored information. ESI shall be produced in native format with all metadata intact, or in another reasonably usable form as the parties agree; the searchability and metadata of ESI shall not be degraded. The parties shall address preservation, custodians, and data sources at the Rule 26.06 conference.</w:t>
      </w:r>
    </w:p>
    <w:p>
      <w:pPr>
        <w:spacing w:after="120" w:before="0" w:line="240" w:lineRule="auto"/>
        <w:ind w:left="360"/>
      </w:pPr>
      <w:r>
        <w:rPr>
          <w:b/>
        </w:rPr>
        <w:t xml:space="preserve">3.  </w:t>
      </w:r>
      <w:r>
        <w:t>Privilege. A party withholding materials on privilege grounds shall serve a privilege log under Rule 26.02(f). The parties shall enter a non-waiver/claw-back agreement providing that inadvertent production does not waive privilege and permitting the Court to approve the agreement so that its protections bind non-parties.</w:t>
      </w:r>
    </w:p>
    <w:p>
      <w:pPr>
        <w:spacing w:after="120" w:before="0" w:line="240" w:lineRule="auto"/>
        <w:ind w:left="360"/>
      </w:pPr>
      <w:r>
        <w:rPr>
          <w:b/>
        </w:rPr>
        <w:t xml:space="preserve">4.  </w:t>
      </w:r>
      <w:r>
        <w:t>Discovery limits. Absent agreement or leave of court, the parties will observe the presumptive limits on written discovery and depositions. Plaintiffs propose that the parties confer on any needed adjustments, including deposition hours for Rule 30.02(f) organizational depositions.</w:t>
      </w:r>
    </w:p>
    <w:p>
      <w:pPr>
        <w:spacing w:after="0" w:before="0" w:line="240" w:lineRule="auto"/>
      </w:pPr>
    </w:p>
    <w:p>
      <w:pPr>
        <w:spacing w:after="80" w:before="0" w:line="240" w:lineRule="auto"/>
      </w:pPr>
      <w:r>
        <w:rPr>
          <w:b/>
          <w:i w:val="0"/>
        </w:rPr>
        <w:t>D.  Anticipated Motions</w:t>
      </w:r>
    </w:p>
    <w:p>
      <w:pPr>
        <w:spacing w:after="160" w:before="0" w:line="240" w:lineRule="auto"/>
      </w:pPr>
      <w:r>
        <w:rPr>
          <w:b w:val="0"/>
        </w:rPr>
        <w:t>Plaintiffs anticipate possible motions to compel discovery and for discovery sanctions (including an adverse-inference instruction under Rule 37); a motion to amend to assert a first-party bad-faith claim under Minn. Stat. § 604.18 supported by the discovery record; and dispositive or partial-dispositive motions. Plaintiffs note that Defendant did not plead any statute-of-limitations or suit-limitation defense and will oppose any belated attempt to add one.</w:t>
      </w:r>
    </w:p>
    <w:p>
      <w:pPr>
        <w:spacing w:after="0" w:before="0" w:line="240" w:lineRule="auto"/>
      </w:pPr>
    </w:p>
    <w:p>
      <w:pPr>
        <w:spacing w:after="80" w:before="0" w:line="240" w:lineRule="auto"/>
      </w:pPr>
      <w:r>
        <w:rPr>
          <w:b/>
          <w:i w:val="0"/>
        </w:rPr>
        <w:t>E.  Proposed Scheduling Deadlines</w:t>
      </w:r>
    </w:p>
    <w:p>
      <w:pPr>
        <w:spacing w:after="120" w:before="0" w:line="240" w:lineRule="auto"/>
      </w:pPr>
      <w:r>
        <w:rPr>
          <w:b w:val="0"/>
        </w:rPr>
        <w:t>The following dates are proposals, measured from the August 10, 2026 Answer, and are subject to conferral and the Court’s scheduling order:</w:t>
      </w:r>
    </w:p>
    <w:tbl>
      <w:tblPr>
        <w:tblStyle w:val="TableGrid"/>
        <w:tblW w:type="auto" w:w="0"/>
        <w:jc w:val="center"/>
        <w:tblLook w:firstColumn="1" w:firstRow="1" w:lastColumn="0" w:lastRow="0" w:noHBand="0" w:noVBand="1" w:val="04A0"/>
      </w:tblPr>
      <w:tblGrid>
        <w:gridCol w:w="4680"/>
        <w:gridCol w:w="4680"/>
      </w:tblGrid>
      <w:tr>
        <w:tc>
          <w:tcPr>
            <w:tcW w:type="dxa" w:w="6000"/>
          </w:tcPr>
          <w:p>
            <w:pPr>
              <w:spacing w:after="0" w:before="0" w:line="240" w:lineRule="auto"/>
            </w:pPr>
            <w:r>
              <w:rPr>
                <w:b/>
              </w:rPr>
              <w:t>Event</w:t>
            </w:r>
          </w:p>
        </w:tc>
        <w:tc>
          <w:tcPr>
            <w:tcW w:type="dxa" w:w="3360"/>
          </w:tcPr>
          <w:p>
            <w:pPr>
              <w:spacing w:after="0" w:before="0" w:line="240" w:lineRule="auto"/>
            </w:pPr>
            <w:r>
              <w:rPr>
                <w:b/>
              </w:rPr>
              <w:t>Proposed Deadline</w:t>
            </w:r>
          </w:p>
        </w:tc>
      </w:tr>
      <w:tr>
        <w:tc>
          <w:tcPr>
            <w:tcW w:type="dxa" w:w="6000"/>
          </w:tcPr>
          <w:p>
            <w:pPr>
              <w:spacing w:after="0" w:before="0" w:line="240" w:lineRule="auto"/>
            </w:pPr>
            <w:r>
              <w:t>Rule 26.06(a) discovery conference</w:t>
            </w:r>
          </w:p>
        </w:tc>
        <w:tc>
          <w:tcPr>
            <w:tcW w:type="dxa" w:w="3360"/>
          </w:tcPr>
          <w:p>
            <w:pPr>
              <w:spacing w:after="0" w:before="0" w:line="240" w:lineRule="auto"/>
            </w:pPr>
            <w:r>
              <w:t>By Sept. 9, 2026</w:t>
            </w:r>
          </w:p>
        </w:tc>
      </w:tr>
      <w:tr>
        <w:tc>
          <w:tcPr>
            <w:tcW w:type="dxa" w:w="6000"/>
          </w:tcPr>
          <w:p>
            <w:pPr>
              <w:spacing w:after="0" w:before="0" w:line="240" w:lineRule="auto"/>
            </w:pPr>
            <w:r>
              <w:t>Rule 26.01(a) initial disclosures</w:t>
            </w:r>
          </w:p>
        </w:tc>
        <w:tc>
          <w:tcPr>
            <w:tcW w:type="dxa" w:w="3360"/>
          </w:tcPr>
          <w:p>
            <w:pPr>
              <w:spacing w:after="0" w:before="0" w:line="240" w:lineRule="auto"/>
            </w:pPr>
            <w:r>
              <w:t>By Oct. 9, 2026</w:t>
            </w:r>
          </w:p>
        </w:tc>
      </w:tr>
      <w:tr>
        <w:tc>
          <w:tcPr>
            <w:tcW w:type="dxa" w:w="6000"/>
          </w:tcPr>
          <w:p>
            <w:pPr>
              <w:spacing w:after="0" w:before="0" w:line="240" w:lineRule="auto"/>
            </w:pPr>
            <w:r>
              <w:t>Deadline to join parties / amend pleadings</w:t>
            </w:r>
          </w:p>
        </w:tc>
        <w:tc>
          <w:tcPr>
            <w:tcW w:type="dxa" w:w="3360"/>
          </w:tcPr>
          <w:p>
            <w:pPr>
              <w:spacing w:after="0" w:before="0" w:line="240" w:lineRule="auto"/>
            </w:pPr>
            <w:r>
              <w:t>Dec. 15, 2026</w:t>
            </w:r>
          </w:p>
        </w:tc>
      </w:tr>
      <w:tr>
        <w:tc>
          <w:tcPr>
            <w:tcW w:type="dxa" w:w="6000"/>
          </w:tcPr>
          <w:p>
            <w:pPr>
              <w:spacing w:after="0" w:before="0" w:line="240" w:lineRule="auto"/>
            </w:pPr>
            <w:r>
              <w:t>Close of fact discovery</w:t>
            </w:r>
          </w:p>
        </w:tc>
        <w:tc>
          <w:tcPr>
            <w:tcW w:type="dxa" w:w="3360"/>
          </w:tcPr>
          <w:p>
            <w:pPr>
              <w:spacing w:after="0" w:before="0" w:line="240" w:lineRule="auto"/>
            </w:pPr>
            <w:r>
              <w:t>May 28, 2027</w:t>
            </w:r>
          </w:p>
        </w:tc>
      </w:tr>
      <w:tr>
        <w:tc>
          <w:tcPr>
            <w:tcW w:type="dxa" w:w="6000"/>
          </w:tcPr>
          <w:p>
            <w:pPr>
              <w:spacing w:after="0" w:before="0" w:line="240" w:lineRule="auto"/>
            </w:pPr>
            <w:r>
              <w:t>Deadline for Minn. Stat. § 604.18 motion to amend (bad faith)</w:t>
            </w:r>
          </w:p>
        </w:tc>
        <w:tc>
          <w:tcPr>
            <w:tcW w:type="dxa" w:w="3360"/>
          </w:tcPr>
          <w:p>
            <w:pPr>
              <w:spacing w:after="0" w:before="0" w:line="240" w:lineRule="auto"/>
            </w:pPr>
            <w:r>
              <w:t>June 28, 2027</w:t>
            </w:r>
          </w:p>
        </w:tc>
      </w:tr>
      <w:tr>
        <w:tc>
          <w:tcPr>
            <w:tcW w:type="dxa" w:w="6000"/>
          </w:tcPr>
          <w:p>
            <w:pPr>
              <w:spacing w:after="0" w:before="0" w:line="240" w:lineRule="auto"/>
            </w:pPr>
            <w:r>
              <w:t>Plaintiffs’ expert disclosures (Rule 26.01(b))</w:t>
            </w:r>
          </w:p>
        </w:tc>
        <w:tc>
          <w:tcPr>
            <w:tcW w:type="dxa" w:w="3360"/>
          </w:tcPr>
          <w:p>
            <w:pPr>
              <w:spacing w:after="0" w:before="0" w:line="240" w:lineRule="auto"/>
            </w:pPr>
            <w:r>
              <w:t>June 30, 2027</w:t>
            </w:r>
          </w:p>
        </w:tc>
      </w:tr>
      <w:tr>
        <w:tc>
          <w:tcPr>
            <w:tcW w:type="dxa" w:w="6000"/>
          </w:tcPr>
          <w:p>
            <w:pPr>
              <w:spacing w:after="0" w:before="0" w:line="240" w:lineRule="auto"/>
            </w:pPr>
            <w:r>
              <w:t>Defendant’s expert disclosures</w:t>
            </w:r>
          </w:p>
        </w:tc>
        <w:tc>
          <w:tcPr>
            <w:tcW w:type="dxa" w:w="3360"/>
          </w:tcPr>
          <w:p>
            <w:pPr>
              <w:spacing w:after="0" w:before="0" w:line="240" w:lineRule="auto"/>
            </w:pPr>
            <w:r>
              <w:t>July 30, 2027</w:t>
            </w:r>
          </w:p>
        </w:tc>
      </w:tr>
      <w:tr>
        <w:tc>
          <w:tcPr>
            <w:tcW w:type="dxa" w:w="6000"/>
          </w:tcPr>
          <w:p>
            <w:pPr>
              <w:spacing w:after="0" w:before="0" w:line="240" w:lineRule="auto"/>
            </w:pPr>
            <w:r>
              <w:t>Rebuttal expert disclosures</w:t>
            </w:r>
          </w:p>
        </w:tc>
        <w:tc>
          <w:tcPr>
            <w:tcW w:type="dxa" w:w="3360"/>
          </w:tcPr>
          <w:p>
            <w:pPr>
              <w:spacing w:after="0" w:before="0" w:line="240" w:lineRule="auto"/>
            </w:pPr>
            <w:r>
              <w:t>Aug. 30, 2027</w:t>
            </w:r>
          </w:p>
        </w:tc>
      </w:tr>
      <w:tr>
        <w:tc>
          <w:tcPr>
            <w:tcW w:type="dxa" w:w="6000"/>
          </w:tcPr>
          <w:p>
            <w:pPr>
              <w:spacing w:after="0" w:before="0" w:line="240" w:lineRule="auto"/>
            </w:pPr>
            <w:r>
              <w:t>Close of expert discovery</w:t>
            </w:r>
          </w:p>
        </w:tc>
        <w:tc>
          <w:tcPr>
            <w:tcW w:type="dxa" w:w="3360"/>
          </w:tcPr>
          <w:p>
            <w:pPr>
              <w:spacing w:after="0" w:before="0" w:line="240" w:lineRule="auto"/>
            </w:pPr>
            <w:r>
              <w:t>Sept. 30, 2027</w:t>
            </w:r>
          </w:p>
        </w:tc>
      </w:tr>
      <w:tr>
        <w:tc>
          <w:tcPr>
            <w:tcW w:type="dxa" w:w="6000"/>
          </w:tcPr>
          <w:p>
            <w:pPr>
              <w:spacing w:after="0" w:before="0" w:line="240" w:lineRule="auto"/>
            </w:pPr>
            <w:r>
              <w:t>ADR completed (Rule 114)</w:t>
            </w:r>
          </w:p>
        </w:tc>
        <w:tc>
          <w:tcPr>
            <w:tcW w:type="dxa" w:w="3360"/>
          </w:tcPr>
          <w:p>
            <w:pPr>
              <w:spacing w:after="0" w:before="0" w:line="240" w:lineRule="auto"/>
            </w:pPr>
            <w:r>
              <w:t>Oct. 29, 2027</w:t>
            </w:r>
          </w:p>
        </w:tc>
      </w:tr>
      <w:tr>
        <w:tc>
          <w:tcPr>
            <w:tcW w:type="dxa" w:w="6000"/>
          </w:tcPr>
          <w:p>
            <w:pPr>
              <w:spacing w:after="0" w:before="0" w:line="240" w:lineRule="auto"/>
            </w:pPr>
            <w:r>
              <w:t>Dispositive motions heard by</w:t>
            </w:r>
          </w:p>
        </w:tc>
        <w:tc>
          <w:tcPr>
            <w:tcW w:type="dxa" w:w="3360"/>
          </w:tcPr>
          <w:p>
            <w:pPr>
              <w:spacing w:after="0" w:before="0" w:line="240" w:lineRule="auto"/>
            </w:pPr>
            <w:r>
              <w:t>Dec. 17, 2027</w:t>
            </w:r>
          </w:p>
        </w:tc>
      </w:tr>
      <w:tr>
        <w:tc>
          <w:tcPr>
            <w:tcW w:type="dxa" w:w="6000"/>
          </w:tcPr>
          <w:p>
            <w:pPr>
              <w:spacing w:after="0" w:before="0" w:line="240" w:lineRule="auto"/>
            </w:pPr>
            <w:r>
              <w:t>Trial-ready date</w:t>
            </w:r>
          </w:p>
        </w:tc>
        <w:tc>
          <w:tcPr>
            <w:tcW w:type="dxa" w:w="3360"/>
          </w:tcPr>
          <w:p>
            <w:pPr>
              <w:spacing w:after="0" w:before="0" w:line="240" w:lineRule="auto"/>
            </w:pPr>
            <w:r>
              <w:t>Feb. 2028</w:t>
            </w:r>
          </w:p>
        </w:tc>
      </w:tr>
    </w:tbl>
    <w:p>
      <w:pPr>
        <w:spacing w:after="0" w:before="80" w:line="240" w:lineRule="auto"/>
      </w:pPr>
    </w:p>
    <w:p>
      <w:pPr>
        <w:spacing w:after="160" w:before="0" w:line="240" w:lineRule="auto"/>
      </w:pPr>
      <w:r>
        <w:rPr>
          <w:b/>
        </w:rPr>
        <w:t xml:space="preserve">Note on the § 604.18 deadline. </w:t>
      </w:r>
      <w:r>
        <w:rPr>
          <w:b w:val="0"/>
        </w:rPr>
        <w:t>Minn. Stat. § 604.18 bars pleading a first-party bad-faith claim in the original complaint; the claim may be added only by a later motion to amend supported by affidavits making a prima facie showing. That showing depends on the fact-discovery record, so Plaintiffs propose a separate, later deadline for the § 604.18 motion (June 28, 2027, approximately 30 days after the close of fact discovery) rather than the general December 15, 2026 pleading-amendment deadline. The award of § 604.18 taxable costs, if the claim is added, would be determined by the Court after the fact-finder’s verdict under Minn. Gen. R. Prac. 119.</w:t>
      </w:r>
    </w:p>
    <w:p>
      <w:pPr>
        <w:spacing w:after="0" w:before="80" w:line="240" w:lineRule="auto"/>
      </w:pPr>
      <w:r>
        <w:rPr>
          <w:b/>
          <w:i w:val="0"/>
        </w:rPr>
        <w:t>PART II — INFORMATIONAL STATEMENT (MINN. GEN. R. PRAC. 111)</w:t>
      </w:r>
    </w:p>
    <w:p>
      <w:pPr>
        <w:spacing w:after="0" w:before="0" w:line="240" w:lineRule="auto"/>
      </w:pPr>
    </w:p>
    <w:p>
      <w:pPr>
        <w:spacing w:after="120" w:before="0" w:line="240" w:lineRule="auto"/>
      </w:pPr>
      <w:r>
        <w:rPr>
          <w:b/>
        </w:rPr>
        <w:t xml:space="preserve">Case caption / file number:  </w:t>
      </w:r>
      <w:r>
        <w:t>Yibiao Lu and Jie Hu v. Fire Insurance Exchange, Court File No. 27-CV-26-11606, Hennepin County District Court, Fourth Judicial District; Judge Jamie Anderson.</w:t>
      </w:r>
    </w:p>
    <w:p>
      <w:pPr>
        <w:spacing w:after="120" w:before="0" w:line="240" w:lineRule="auto"/>
      </w:pPr>
      <w:r>
        <w:rPr>
          <w:b/>
        </w:rPr>
        <w:t xml:space="preserve">Case type:  </w:t>
      </w:r>
      <w:r>
        <w:t>Contract — first-party homeowner’s insurance dispute (hail loss), with declaratory-judgment and Minnesota Consumer Fraud Act counts.</w:t>
      </w:r>
    </w:p>
    <w:p>
      <w:pPr>
        <w:spacing w:after="120" w:before="0" w:line="240" w:lineRule="auto"/>
      </w:pPr>
      <w:r>
        <w:rPr>
          <w:b/>
        </w:rPr>
        <w:t xml:space="preserve">Plaintiffs (pro se):  </w:t>
      </w:r>
      <w:r>
        <w:t>Yibiao Lu and Jie Hu, 17756 George Moran Dr., Eden Prairie, MN 55347; telephone ______________; email ______________.</w:t>
      </w:r>
    </w:p>
    <w:p>
      <w:pPr>
        <w:spacing w:after="120" w:before="0" w:line="240" w:lineRule="auto"/>
      </w:pPr>
      <w:r>
        <w:rPr>
          <w:b/>
        </w:rPr>
        <w:t xml:space="preserve">Defense counsel:  </w:t>
      </w:r>
      <w:r>
        <w:t>Kevin J. Kennedy and Mary J. Baskfield, Kennedy Law Firm P.C., 7616 Currell Blvd., Suite 270, Woodbury, MN 55125; (651) 256-5000.</w:t>
      </w:r>
    </w:p>
    <w:p>
      <w:pPr>
        <w:spacing w:after="120" w:before="0" w:line="240" w:lineRule="auto"/>
      </w:pPr>
      <w:r>
        <w:rPr>
          <w:b/>
        </w:rPr>
        <w:t xml:space="preserve">Jury or court trial:  </w:t>
      </w:r>
      <w:r>
        <w:t>Jury trial — Defendant has demanded a jury in its Answer.</w:t>
      </w:r>
    </w:p>
    <w:p>
      <w:pPr>
        <w:spacing w:after="120" w:before="0" w:line="240" w:lineRule="auto"/>
      </w:pPr>
      <w:r>
        <w:rPr>
          <w:b/>
        </w:rPr>
        <w:t xml:space="preserve">Related cases:  </w:t>
      </w:r>
      <w:r>
        <w:t>None known. A prior administrative complaint was filed with the Minnesota Department of Commerce (Complaint ID 93547); it is not a pending court case.</w:t>
      </w:r>
    </w:p>
    <w:p>
      <w:pPr>
        <w:spacing w:after="120" w:before="0" w:line="240" w:lineRule="auto"/>
      </w:pPr>
      <w:r>
        <w:rPr>
          <w:b/>
        </w:rPr>
        <w:t xml:space="preserve">Track / complexity:  </w:t>
      </w:r>
      <w:r>
        <w:t>Standard track. The case involves competing expert causation testimony and a contested appraisal award; Plaintiffs do not presently believe it requires the complex-case track but will confer.</w:t>
      </w:r>
    </w:p>
    <w:p>
      <w:pPr>
        <w:spacing w:after="120" w:before="0" w:line="240" w:lineRule="auto"/>
      </w:pPr>
      <w:r>
        <w:rPr>
          <w:b/>
        </w:rPr>
        <w:t xml:space="preserve">Alternative dispute resolution (Rule 114):  </w:t>
      </w:r>
      <w:r>
        <w:t>Plaintiffs propose non-binding mediation, to be completed by the ADR deadline above; the neutral to be selected by agreement or, failing agreement, appointed by the Court.</w:t>
      </w:r>
    </w:p>
    <w:p>
      <w:pPr>
        <w:spacing w:after="120" w:before="0" w:line="240" w:lineRule="auto"/>
      </w:pPr>
      <w:r>
        <w:rPr>
          <w:b/>
        </w:rPr>
        <w:t xml:space="preserve">Discovery completion:  </w:t>
      </w:r>
      <w:r>
        <w:t>Fact discovery by May 28, 2027; expert discovery by Sept. 30, 2027 (see Part I.E).</w:t>
      </w:r>
    </w:p>
    <w:p>
      <w:pPr>
        <w:spacing w:after="120" w:before="0" w:line="240" w:lineRule="auto"/>
      </w:pPr>
      <w:r>
        <w:rPr>
          <w:b/>
        </w:rPr>
        <w:t xml:space="preserve">Expert witnesses:  </w:t>
      </w:r>
      <w:r>
        <w:t>Plaintiffs anticipate calling one or more retained experts (forensic engineering and/or meteorology) on hail causation and damage, plus valuation testimony; disclosure dates as set out in Part I.E.</w:t>
      </w:r>
    </w:p>
    <w:p>
      <w:pPr>
        <w:spacing w:after="120" w:before="0" w:line="240" w:lineRule="auto"/>
      </w:pPr>
      <w:r>
        <w:rPr>
          <w:b/>
        </w:rPr>
        <w:t xml:space="preserve">Estimated trial length:  </w:t>
      </w:r>
      <w:r>
        <w:t>Approximately 4–5 trial days.</w:t>
      </w:r>
    </w:p>
    <w:p>
      <w:pPr>
        <w:spacing w:after="120" w:before="0" w:line="240" w:lineRule="auto"/>
      </w:pPr>
      <w:r>
        <w:rPr>
          <w:b/>
        </w:rPr>
        <w:t xml:space="preserve">Special needs:  </w:t>
      </w:r>
      <w:r>
        <w:t>None known at this time (no interpreter or accommodation presently required).</w:t>
      </w:r>
    </w:p>
    <w:p>
      <w:pPr>
        <w:spacing w:after="0" w:before="0" w:line="240" w:lineRule="auto"/>
      </w:pPr>
    </w:p>
    <w:p>
      <w:pPr>
        <w:spacing w:after="0" w:before="0" w:line="240" w:lineRule="auto"/>
      </w:pPr>
      <w:r>
        <w:rPr>
          <w:b w:val="0"/>
          <w:i w:val="0"/>
        </w:rPr>
        <w:t>Dated: ______________, 2026.</w:t>
      </w:r>
    </w:p>
    <w:p>
      <w:pPr>
        <w:spacing w:after="0" w:before="0" w:line="240" w:lineRule="auto"/>
      </w:pPr>
    </w:p>
    <w:p>
      <w:pPr>
        <w:spacing w:after="0" w:before="0" w:line="240" w:lineRule="auto"/>
      </w:pPr>
      <w:r>
        <w:rPr>
          <w:b w:val="0"/>
          <w:i w:val="0"/>
        </w:rPr>
        <w:t>Respectfully submitted,</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Jie Hu, Plaintiff pro se</w:t>
      </w:r>
    </w:p>
    <w:p>
      <w:pPr>
        <w:spacing w:after="0" w:before="0" w:line="240" w:lineRule="auto"/>
      </w:pPr>
      <w:r>
        <w:rPr>
          <w:b w:val="0"/>
          <w:i w:val="0"/>
        </w:rPr>
        <w:t>17756 George Moran Dr., Eden Prairie, MN 55347</w:t>
      </w:r>
    </w:p>
    <w:p>
      <w:pPr>
        <w:spacing w:after="0" w:before="0" w:line="240" w:lineRule="auto"/>
      </w:pPr>
      <w:r>
        <w:rPr>
          <w:b w:val="0"/>
          <w:i w:val="0"/>
        </w:rPr>
        <w:t>Telephone: ______________   Email: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