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line="240"/>
            </w:pPr>
            <w:r>
              <w:t xml:space="preserve">STATE OF MINNESOTA</w:t>
            </w:r>
          </w:p>
          <w:p>
            <w:pPr>
              <w:spacing w:after="0" w:line="240"/>
            </w:pPr>
            <w:r>
              <w:t xml:space="preserve">COUNTY OF HENNEPIN</w:t>
            </w:r>
          </w:p>
          <w:p>
            <w:pPr>
              <w:spacing w:after="0" w:line="240"/>
            </w:pPr>
            <w:r>
              <w:t xml:space="preserve"/>
            </w:r>
          </w:p>
          <w:p>
            <w:pPr>
              <w:spacing w:after="0" w:line="240"/>
            </w:pPr>
            <w:r>
              <w:t xml:space="preserve">Yibiao Lu and Jie Hu,</w:t>
            </w:r>
          </w:p>
          <w:p>
            <w:pPr>
              <w:spacing w:after="0" w:line="240"/>
            </w:pPr>
            <w:r>
              <w:t xml:space="preserve"/>
            </w:r>
          </w:p>
          <w:p>
            <w:pPr>
              <w:spacing w:after="0" w:line="240"/>
            </w:pPr>
            <w:r>
              <w:t xml:space="preserve">                              Plaintiffs,</w:t>
            </w:r>
          </w:p>
          <w:p>
            <w:pPr>
              <w:spacing w:after="0" w:line="240"/>
            </w:pPr>
            <w:r>
              <w:t xml:space="preserve"/>
            </w:r>
          </w:p>
          <w:p>
            <w:pPr>
              <w:spacing w:after="0" w:line="240"/>
            </w:pPr>
            <w:r>
              <w:t xml:space="preserve">vs.</w:t>
            </w:r>
          </w:p>
          <w:p>
            <w:pPr>
              <w:spacing w:after="0" w:line="240"/>
            </w:pPr>
            <w:r>
              <w:t xml:space="preserve"/>
            </w:r>
          </w:p>
          <w:p>
            <w:pPr>
              <w:spacing w:after="0" w:line="240"/>
            </w:pPr>
            <w:r>
              <w:t xml:space="preserve">Fire Insurance Exchange, by and through its</w:t>
            </w:r>
          </w:p>
          <w:p>
            <w:pPr>
              <w:spacing w:after="0" w:line="240"/>
            </w:pPr>
            <w:r>
              <w:t xml:space="preserve">attorney-in-fact Fire Underwriters Association,</w:t>
            </w:r>
          </w:p>
          <w:p>
            <w:pPr>
              <w:spacing w:after="0" w:line="240"/>
            </w:pPr>
            <w:r>
              <w:t xml:space="preserve">doing business as Farmers Insurance,</w:t>
            </w:r>
          </w:p>
          <w:p>
            <w:pPr>
              <w:spacing w:after="0" w:line="240"/>
            </w:pPr>
            <w:r>
              <w:t xml:space="preserve"/>
            </w:r>
          </w:p>
          <w:p>
            <w:pPr>
              <w:spacing w:after="0" w:line="240"/>
            </w:pPr>
            <w:r>
              <w:t xml:space="preserve">                              Defendant.</w:t>
            </w:r>
          </w:p>
        </w:tc>
        <w:tc>
          <w:tcPr>
            <w:tcW w:type="dxa" w:w="4460"/>
            <w:tcBorders>
              <w:top w:val="none" w:color="FFFFFF" w:sz="0"/>
              <w:left w:val="none" w:color="FFFFFF" w:sz="0"/>
              <w:bottom w:val="none" w:color="FFFFFF" w:sz="0"/>
              <w:right w:val="none" w:color="FFFFFF" w:sz="0"/>
            </w:tcBorders>
            <w:tcMar>
              <w:left w:type="dxa" w:w="200"/>
            </w:tcMar>
          </w:tcPr>
          <w:p>
            <w:pPr>
              <w:spacing w:after="0" w:line="240"/>
            </w:pPr>
            <w:r>
              <w:t xml:space="preserve">DISTRICT COURT</w:t>
            </w:r>
          </w:p>
          <w:p>
            <w:pPr>
              <w:spacing w:after="0" w:line="240"/>
            </w:pPr>
            <w:r>
              <w:t xml:space="preserve">FOURTH JUDICIAL DISTRICT</w:t>
            </w:r>
          </w:p>
          <w:p>
            <w:pPr>
              <w:spacing w:after="0" w:line="240"/>
            </w:pPr>
            <w:r>
              <w:t xml:space="preserve"/>
            </w:r>
          </w:p>
          <w:p>
            <w:pPr>
              <w:spacing w:after="0" w:line="240"/>
            </w:pPr>
            <w:r>
              <w:t xml:space="preserve">Case Type: Contract</w:t>
            </w:r>
          </w:p>
          <w:p>
            <w:pPr>
              <w:spacing w:after="0" w:line="240"/>
            </w:pPr>
            <w:r>
              <w:t xml:space="preserve"/>
            </w:r>
          </w:p>
          <w:p>
            <w:pPr>
              <w:spacing w:after="0" w:line="240"/>
            </w:pPr>
            <w:r>
              <w:t xml:space="preserve">Court File No. 27-CV-26-11606</w:t>
            </w:r>
          </w:p>
          <w:p>
            <w:pPr>
              <w:spacing w:after="0" w:line="240"/>
            </w:pPr>
            <w:r>
              <w:t xml:space="preserve"/>
            </w:r>
          </w:p>
          <w:p>
            <w:pPr>
              <w:spacing w:after="0" w:line="240"/>
            </w:pPr>
            <w:r>
              <w:t xml:space="preserve">Judge: Jamie Anderson</w:t>
            </w:r>
          </w:p>
        </w:tc>
      </w:tr>
    </w:tbl>
    <w:p>
      <w:pPr>
        <w:pBdr>
          <w:bottom w:val="single" w:color="000000" w:sz="6"/>
        </w:pBdr>
        <w:spacing w:after="200" w:before="40"/>
      </w:pPr>
      <w:r>
        <w:t xml:space="preserve"/>
      </w:r>
    </w:p>
    <w:p>
      <w:pPr>
        <w:spacing w:after="40"/>
        <w:jc w:val="center"/>
      </w:pPr>
      <w:r>
        <w:rPr>
          <w:b/>
          <w:bCs/>
          <w:caps/>
        </w:rPr>
        <w:t xml:space="preserve">Plaintiffs’ First Set of Interrogatories</w:t>
      </w:r>
    </w:p>
    <w:p>
      <w:pPr>
        <w:spacing w:after="40"/>
        <w:jc w:val="center"/>
      </w:pPr>
      <w:r>
        <w:rPr>
          <w:b/>
          <w:bCs/>
          <w:caps/>
        </w:rPr>
        <w:t xml:space="preserve">to Defendant Fire Insurance Exchange</w:t>
      </w:r>
    </w:p>
    <w:p>
      <w:pPr>
        <w:spacing w:after="120"/>
      </w:pPr>
      <w:r>
        <w:t xml:space="preserve"/>
      </w:r>
    </w:p>
    <w:p>
      <w:pPr>
        <w:spacing w:after="160" w:line="276"/>
      </w:pPr>
      <w:r>
        <w:rPr>
          <w:b/>
          <w:bCs/>
        </w:rPr>
        <w:t xml:space="preserve">TO: </w:t>
      </w:r>
      <w:r>
        <w:t xml:space="preserve">Defendant Fire Insurance Exchange, by and through its attorney-in-fact Fire Underwriters Association, and its attorneys of record.</w:t>
      </w:r>
    </w:p>
    <w:p>
      <w:pPr>
        <w:spacing w:after="160" w:line="276"/>
      </w:pPr>
      <w:r>
        <w:t xml:space="preserve">PLEASE TAKE NOTICE that, pursuant to Rules 26 and 33 of the Minnesota Rules of Civil Procedure, Plaintiffs Yibiao Lu and Jie Hu serve the following interrogatories on Defendant, to be answered separately, fully, in writing, and under oath within thirty (30) days after service.</w:t>
      </w:r>
    </w:p>
    <w:p>
      <w:pPr>
        <w:spacing w:after="160" w:before="200"/>
        <w:jc w:val="center"/>
      </w:pPr>
      <w:r>
        <w:rPr>
          <w:b/>
          <w:bCs/>
          <w:caps/>
        </w:rPr>
        <w:t xml:space="preserve">Definitions</w:t>
      </w:r>
    </w:p>
    <w:p>
      <w:pPr>
        <w:spacing w:after="120" w:line="276"/>
        <w:ind w:left="360" w:hanging="360"/>
      </w:pPr>
      <w:r>
        <w:rPr>
          <w:b/>
          <w:bCs/>
        </w:rPr>
        <w:t xml:space="preserve">"Defendant," "Farmers," "FIE," "You," and "Your" </w:t>
      </w:r>
      <w:r>
        <w:t xml:space="preserve">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120" w:line="276"/>
        <w:ind w:left="360" w:hanging="360"/>
      </w:pPr>
      <w:r>
        <w:rPr>
          <w:b/>
          <w:bCs/>
        </w:rPr>
        <w:t xml:space="preserve">"Plaintiffs" </w:t>
      </w:r>
      <w:r>
        <w:t xml:space="preserve">means Yibiao Lu and Jie Hu.</w:t>
      </w:r>
    </w:p>
    <w:p>
      <w:pPr>
        <w:spacing w:after="120" w:line="276"/>
        <w:ind w:left="360" w:hanging="360"/>
      </w:pPr>
      <w:r>
        <w:rPr>
          <w:b/>
          <w:bCs/>
        </w:rPr>
        <w:t xml:space="preserve">"The Claim" </w:t>
      </w:r>
      <w:r>
        <w:t xml:space="preserve">means Farmers claim number 7007986837-1-1, arising from the July 13, 2024 hail loss.</w:t>
      </w:r>
    </w:p>
    <w:p>
      <w:pPr>
        <w:spacing w:after="120" w:line="276"/>
        <w:ind w:left="360" w:hanging="360"/>
      </w:pPr>
      <w:r>
        <w:rPr>
          <w:b/>
          <w:bCs/>
        </w:rPr>
        <w:t xml:space="preserve">"The 2020 Claim" </w:t>
      </w:r>
      <w:r>
        <w:t xml:space="preserve">means Farmers claim number 3013539499-1.</w:t>
      </w:r>
    </w:p>
    <w:p>
      <w:pPr>
        <w:spacing w:after="120" w:line="276"/>
        <w:ind w:left="360" w:hanging="360"/>
      </w:pPr>
      <w:r>
        <w:rPr>
          <w:b/>
          <w:bCs/>
        </w:rPr>
        <w:t xml:space="preserve">"The Policy" </w:t>
      </w:r>
      <w:r>
        <w:t xml:space="preserve">means homeowner’s Policy 98055-49-65, including all endorsements, in force on July 13, 2024.</w:t>
      </w:r>
    </w:p>
    <w:p>
      <w:pPr>
        <w:spacing w:after="120" w:line="276"/>
        <w:ind w:left="360" w:hanging="360"/>
      </w:pPr>
      <w:r>
        <w:rPr>
          <w:b/>
          <w:bCs/>
        </w:rPr>
        <w:t xml:space="preserve">"The Property" </w:t>
      </w:r>
      <w:r>
        <w:t xml:space="preserve">means the insured dwelling at 17756 George Moran Dr., Eden Prairie, Minnesota 55347.</w:t>
      </w:r>
    </w:p>
    <w:p>
      <w:pPr>
        <w:spacing w:after="120" w:line="276"/>
        <w:ind w:left="360" w:hanging="360"/>
      </w:pPr>
      <w:r>
        <w:rPr>
          <w:b/>
          <w:bCs/>
        </w:rPr>
        <w:t xml:space="preserve">"The Prieve Report" </w:t>
      </w:r>
      <w:r>
        <w:t xml:space="preserve">means the report of Prieve Engineering, LLC, File #241008, together with all drafts thereof.</w:t>
      </w:r>
    </w:p>
    <w:p>
      <w:pPr>
        <w:spacing w:after="120" w:line="276"/>
        <w:ind w:left="360" w:hanging="360"/>
      </w:pPr>
      <w:r>
        <w:rPr>
          <w:b/>
          <w:bCs/>
        </w:rPr>
        <w:t xml:space="preserve">"The Appraisal Award" </w:t>
      </w:r>
      <w:r>
        <w:t xml:space="preserve">means the appraisal award entered September 12, 2025 under Minn. Stat. § 65A.01.</w:t>
      </w:r>
    </w:p>
    <w:p>
      <w:pPr>
        <w:spacing w:after="120" w:line="276"/>
        <w:ind w:left="360" w:hanging="360"/>
      </w:pPr>
      <w:r>
        <w:rPr>
          <w:b/>
          <w:bCs/>
        </w:rPr>
        <w:t xml:space="preserve">"Document" and "Documents" </w:t>
      </w:r>
      <w:r>
        <w:t xml:space="preserve">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pPr>
        <w:spacing w:after="120" w:line="276"/>
        <w:ind w:left="360" w:hanging="360"/>
      </w:pPr>
      <w:r>
        <w:rPr>
          <w:b/>
          <w:bCs/>
        </w:rPr>
        <w:t xml:space="preserve">"Communication" </w:t>
      </w:r>
      <w:r>
        <w:t xml:space="preserve">means any transmission or exchange of information of any kind, whether oral, written, or electronic, including email, text message, voicemail, letter, memorandum, and claim-system note.</w:t>
      </w:r>
    </w:p>
    <w:p>
      <w:pPr>
        <w:spacing w:after="120" w:line="276"/>
        <w:ind w:left="360" w:hanging="360"/>
      </w:pPr>
      <w:r>
        <w:rPr>
          <w:b/>
          <w:bCs/>
        </w:rPr>
        <w:t xml:space="preserve">"Person" </w:t>
      </w:r>
      <w:r>
        <w:t xml:space="preserve">means any natural person or any business, legal, or governmental entity.</w:t>
      </w:r>
    </w:p>
    <w:p>
      <w:pPr>
        <w:spacing w:after="120" w:line="276"/>
        <w:ind w:left="360" w:hanging="360"/>
      </w:pPr>
      <w:r>
        <w:rPr>
          <w:b/>
          <w:bCs/>
        </w:rPr>
        <w:t xml:space="preserve">"Identify" </w:t>
      </w:r>
      <w:r>
        <w:t xml:space="preserve">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 and to produce it.</w:t>
      </w:r>
    </w:p>
    <w:p>
      <w:pPr>
        <w:spacing w:after="120" w:line="276"/>
        <w:ind w:left="360" w:hanging="360"/>
      </w:pPr>
      <w:r>
        <w:rPr>
          <w:b/>
          <w:bCs/>
        </w:rPr>
        <w:t xml:space="preserve">"Relating to," "concerning," and "regarding" </w:t>
      </w:r>
      <w:r>
        <w:t xml:space="preserve">mean referring to, describing, evidencing, constituting, reflecting, or in any way logically or factually connected with the subject matter of the request.</w:t>
      </w:r>
    </w:p>
    <w:p>
      <w:pPr>
        <w:spacing w:after="160" w:before="200"/>
        <w:jc w:val="center"/>
      </w:pPr>
      <w:r>
        <w:rPr>
          <w:b/>
          <w:bCs/>
          <w:caps/>
        </w:rPr>
        <w:t xml:space="preserve">Instructions</w:t>
      </w:r>
    </w:p>
    <w:p>
      <w:pPr>
        <w:spacing w:after="160" w:line="276"/>
      </w:pPr>
      <w:r>
        <w:rPr>
          <w:b/>
          <w:bCs/>
        </w:rPr>
        <w:t xml:space="preserve">1.  </w:t>
      </w:r>
      <w:r>
        <w:t xml:space="preserve">Time period. Unless a particular request specifies otherwise, each request covers the period January 1, 2020 through the present.</w:t>
      </w:r>
    </w:p>
    <w:p>
      <w:pPr>
        <w:spacing w:after="160" w:line="276"/>
      </w:pPr>
      <w:r>
        <w:rPr>
          <w:b/>
          <w:bCs/>
        </w:rPr>
        <w:t xml:space="preserve">2.  </w:t>
      </w:r>
      <w:r>
        <w:t xml:space="preserve">Manner of answer. Each interrogatory must be answered separately, fully, in writing, and under oath, and the answers must be signed by the person making them, pursuant to Minn. R. Civ. P. 33.01.</w:t>
      </w:r>
    </w:p>
    <w:p>
      <w:pPr>
        <w:spacing w:after="160" w:line="276"/>
      </w:pPr>
      <w:r>
        <w:rPr>
          <w:b/>
          <w:bCs/>
        </w:rPr>
        <w:t xml:space="preserve">3.  </w:t>
      </w:r>
      <w:r>
        <w:t xml:space="preserve">Continuing duty. These interrogatories are continuing. You must seasonably supplement or correct Your answers pursuant to Minn. R. Civ. P. 26.05.</w:t>
      </w:r>
    </w:p>
    <w:p>
      <w:pPr>
        <w:spacing w:after="160" w:line="276"/>
      </w:pPr>
      <w:r>
        <w:rPr>
          <w:b/>
          <w:bCs/>
        </w:rPr>
        <w:t xml:space="preserve">4.  </w:t>
      </w:r>
      <w:r>
        <w:t xml:space="preserve">Privilege. If You withhold any information on a claim of privilege or protection, expressly state the claim and provide a privilege log describing the nature of the withheld material in a manner sufficient to enable Plaintiffs to assess the claim, pursuant to Minn. R. Civ. P. 26.02(f).</w:t>
      </w:r>
    </w:p>
    <w:p>
      <w:pPr>
        <w:spacing w:after="160" w:line="276"/>
      </w:pPr>
      <w:r>
        <w:rPr>
          <w:b/>
          <w:bCs/>
        </w:rPr>
        <w:t xml:space="preserve">5.  </w:t>
      </w:r>
      <w:r>
        <w:t xml:space="preserve">Option to produce records. If You elect to answer any interrogatory by producing business records under Minn. R. Civ. P. 33.01(d), specify the records to be produced in sufficient detail to permit Plaintiffs to locate and identify them as readily as You could.</w:t>
      </w:r>
    </w:p>
    <w:p>
      <w:pPr>
        <w:spacing w:after="160" w:line="276"/>
      </w:pPr>
      <w:r>
        <w:rPr>
          <w:b/>
          <w:bCs/>
        </w:rPr>
        <w:t xml:space="preserve">6.  </w:t>
      </w:r>
      <w:r>
        <w:t xml:space="preserve">No responsive information. If no information exists responsive to an interrogatory, state so expressly. If responsive information once existed but is no longer available, identify it, describe its disposition, and identify each person with knowledge.</w:t>
      </w:r>
    </w:p>
    <w:p>
      <w:pPr>
        <w:spacing w:after="160" w:line="276"/>
      </w:pPr>
      <w:r>
        <w:rPr>
          <w:b/>
          <w:bCs/>
        </w:rPr>
        <w:t xml:space="preserve">7.  </w:t>
      </w:r>
      <w:r>
        <w:t xml:space="preserve">Construction. The words "and" and "or" are both conjunctive and disjunctive; "each" includes "every"; and the singular includes the plural and vice versa, as necessary to bring within the scope of each interrogatory all answers that might otherwise be construed to be outside its scope.</w:t>
      </w:r>
    </w:p>
    <w:p>
      <w:pPr>
        <w:spacing w:after="160" w:before="200"/>
        <w:jc w:val="center"/>
      </w:pPr>
      <w:r>
        <w:rPr>
          <w:b/>
          <w:bCs/>
          <w:caps/>
        </w:rPr>
        <w:t xml:space="preserve">Interrogatories</w:t>
      </w:r>
    </w:p>
    <w:p>
      <w:pPr>
        <w:spacing w:after="160" w:line="276"/>
      </w:pPr>
      <w:r>
        <w:rPr>
          <w:b/>
          <w:bCs/>
        </w:rPr>
        <w:t xml:space="preserve">INTERROGATORY NO. 1:  </w:t>
      </w:r>
      <w:r>
        <w:t xml:space="preserve">Identify each person who participated in handling, investigating, adjusting, supervising, or deciding The Claim, stating for each their name, title, employer, role, and dates of involvement.</w:t>
      </w:r>
    </w:p>
    <w:p>
      <w:pPr>
        <w:spacing w:after="160" w:line="276"/>
      </w:pPr>
      <w:r>
        <w:rPr>
          <w:b/>
          <w:bCs/>
        </w:rPr>
        <w:t xml:space="preserve">INTERROGATORY NO. 2:  </w:t>
      </w:r>
      <w:r>
        <w:t xml:space="preserve">Identify each person who supplied information used to answer these interrogatories, and identify the interrogatory or interrogatories to which each such person contributed.</w:t>
      </w:r>
    </w:p>
    <w:p>
      <w:pPr>
        <w:spacing w:after="160" w:line="276"/>
      </w:pPr>
      <w:r>
        <w:rPr>
          <w:b/>
          <w:bCs/>
        </w:rPr>
        <w:t xml:space="preserve">INTERROGATORY NO. 3:  </w:t>
      </w:r>
      <w:r>
        <w:t xml:space="preserve">State each fact on which You base any contention that hail did not cause damage to any window or exterior component of The Property beyond the windows designated "F1.7" and "B1.2" in The Appraisal Award, and identify the documents and witnesses that support that contention.</w:t>
      </w:r>
    </w:p>
    <w:p>
      <w:pPr>
        <w:spacing w:after="160" w:line="276"/>
      </w:pPr>
      <w:r>
        <w:rPr>
          <w:b/>
          <w:bCs/>
        </w:rPr>
        <w:t xml:space="preserve">INTERROGATORY NO. 4:  </w:t>
      </w:r>
      <w:r>
        <w:t xml:space="preserve">For each of the six policy exclusions cited in the November 4, 2024 denial letter, state the specific factual basis on which You contend that exclusion applies to The Claim, and identify the documents and witnesses on which You rely to support the application of that exclusion.</w:t>
      </w:r>
    </w:p>
    <w:p>
      <w:pPr>
        <w:spacing w:after="160" w:line="276"/>
      </w:pPr>
      <w:r>
        <w:rPr>
          <w:b/>
          <w:bCs/>
        </w:rPr>
        <w:t xml:space="preserve">INTERROGATORY NO. 5:  </w:t>
      </w:r>
      <w:r>
        <w:t xml:space="preserve">Identify each non-window component of The Property (including without limitation downspouts, flashing, siding, trim board, doors, and screens) that the Prieve Report’s Photo Appendix A documents as dented, marked, or otherwise damaged, and for each such component state whether You contend the damage exists, the cause You attribute to the damage, and whether You contend that any policy exclusion or limitation applies.</w:t>
      </w:r>
    </w:p>
    <w:p>
      <w:pPr>
        <w:spacing w:after="160" w:line="276"/>
      </w:pPr>
      <w:r>
        <w:rPr>
          <w:b/>
          <w:bCs/>
        </w:rPr>
        <w:t xml:space="preserve">INTERROGATORY NO. 6:  </w:t>
      </w:r>
      <w:r>
        <w:t xml:space="preserve">State the basis for Your decision to scope the Prieve Engineering engagement to the condition of the windows and to exclude the siding, downspouts, flashing, and doors that Plaintiffs had reported as damaged, identifying the date of that decision, the person(s) who made it, whether Plaintiffs were informed of it, and whether Prieve requested and was denied an expanded scope.</w:t>
      </w:r>
    </w:p>
    <w:p>
      <w:pPr>
        <w:spacing w:after="160" w:line="276"/>
      </w:pPr>
      <w:r>
        <w:rPr>
          <w:b/>
          <w:bCs/>
        </w:rPr>
        <w:t xml:space="preserve">INTERROGATORY NO. 7:  </w:t>
      </w:r>
      <w:r>
        <w:t xml:space="preserve">Describe the methodology and identify every data source that Nathan Prieve used, and every reasonably available data source that he did not use, to support the statement in the Prieve Report that the most recent hail in Eden Prairie was reported in 2020.</w:t>
      </w:r>
    </w:p>
    <w:p>
      <w:pPr>
        <w:spacing w:after="160" w:line="276"/>
      </w:pPr>
      <w:r>
        <w:rPr>
          <w:b/>
          <w:bCs/>
        </w:rPr>
        <w:t xml:space="preserve">INTERROGATORY NO. 8:  </w:t>
      </w:r>
      <w:r>
        <w:t xml:space="preserve">State the factual and engineering basis for the Prieve Report’s conclusion that past hail at The Property was not of sufficient size to dent the window frames or the faces of the sashes, including the hail-size threshold applied, the source of that threshold, and any quantitative impact-force or terminal-velocity calculation performed.</w:t>
      </w:r>
    </w:p>
    <w:p>
      <w:pPr>
        <w:spacing w:after="160" w:line="276"/>
      </w:pPr>
      <w:r>
        <w:rPr>
          <w:b/>
          <w:bCs/>
        </w:rPr>
        <w:t xml:space="preserve">INTERROGATORY NO. 9:  </w:t>
      </w:r>
      <w:r>
        <w:t xml:space="preserve">For each line item in the 2020 Xactimate estimate for The 2020 Claim, identify the specific window or sash to which the line item relates by location and elevation, state whether the line item paid for replacement of an entire window unit or for one or more individual sashes, and identify each window, sash, or component that the 2020 inspection observed or photographed as damaged but did not include in a paid line item, together with the reason for its exclusion.</w:t>
      </w:r>
    </w:p>
    <w:p>
      <w:pPr>
        <w:spacing w:after="160" w:line="276"/>
      </w:pPr>
      <w:r>
        <w:rPr>
          <w:b/>
          <w:bCs/>
        </w:rPr>
        <w:t xml:space="preserve">INTERROGATORY NO. 10:  </w:t>
      </w:r>
      <w:r>
        <w:t xml:space="preserve">State whether You contend that the replacement cost owed for the covered windows excludes any of the following, and if so state the specific factual and contractual basis for each: (a) detaching and resetting, or replacing, window blinds and other coverings mounted to or within the covered windows; (b) interior or exterior trim disturbed by the window replacement; (c) exterior repaint necessitated by the window installation; and (d) remediation of mold or water damage resulting from window leakage.</w:t>
      </w:r>
    </w:p>
    <w:p>
      <w:pPr>
        <w:spacing w:after="160" w:line="276"/>
      </w:pPr>
      <w:r>
        <w:rPr>
          <w:b/>
          <w:bCs/>
        </w:rPr>
        <w:t xml:space="preserve">INTERROGATORY NO. 11:  </w:t>
      </w:r>
      <w:r>
        <w:t xml:space="preserve">For each item that You contend is limited or excluded by endorsement J6944 (Limited Matching of Undamaged Property), state the specific factual and contractual basis for that contention and identify which requirement of endorsement J6944 You contend applies to that item.</w:t>
      </w:r>
    </w:p>
    <w:p>
      <w:pPr>
        <w:spacing w:after="160" w:line="276"/>
      </w:pPr>
      <w:r>
        <w:rPr>
          <w:b/>
          <w:bCs/>
        </w:rPr>
        <w:t xml:space="preserve">INTERROGATORY NO. 12:  </w:t>
      </w:r>
      <w:r>
        <w:t xml:space="preserve">Identify, by date, speaker, audience, and medium, each communication in which You articulated, restated, or applied any requirement that evidence on a hail claim be provided by an engineer before You would review it, including without limitation the February 3, 2025 telephone call and the February 10, 2025 voicemail.</w:t>
      </w:r>
    </w:p>
    <w:p>
      <w:pPr>
        <w:spacing w:after="160" w:line="276"/>
      </w:pPr>
      <w:r>
        <w:rPr>
          <w:b/>
          <w:bCs/>
        </w:rPr>
        <w:t xml:space="preserve">INTERROGATORY NO. 13:  </w:t>
      </w:r>
      <w:r>
        <w:t xml:space="preserve">State the basis for Your October 10, 2025 statement that "the file does not contain a report on the requested date" with respect to Nicholas Brau’s September 6, 2024 inspection, and identify the search performed to locate such records, the custodians and systems searched, the date of the search, and the person who performed it.</w:t>
      </w:r>
    </w:p>
    <w:p>
      <w:pPr>
        <w:spacing w:after="160" w:line="276"/>
      </w:pPr>
      <w:r>
        <w:rPr>
          <w:b/>
          <w:bCs/>
        </w:rPr>
        <w:t xml:space="preserve">INTERROGATORY NO. 14:  </w:t>
      </w:r>
      <w:r>
        <w:t xml:space="preserve">State the basis for Nicholas Brau’s October 29, 2025 statement that "all the information we can release has already been sent to you," identifying what specifically had been released, to whom, on what date, and which of Mr. Brau’s observations from the September 6, 2024 inspection are included in that release.</w:t>
      </w:r>
    </w:p>
    <w:p>
      <w:pPr>
        <w:spacing w:after="160" w:line="276"/>
      </w:pPr>
      <w:r>
        <w:rPr>
          <w:b/>
          <w:bCs/>
        </w:rPr>
        <w:t xml:space="preserve">INTERROGATORY NO. 15:  </w:t>
      </w:r>
      <w:r>
        <w:t xml:space="preserve">Describe Your document- and record-retention policies as applied to (a) adjuster inspection notes, (b) draft denial letters, and (c) the audit-trail records of Your claim system, in effect from July 13, 2024 forward.</w:t>
      </w:r>
    </w:p>
    <w:p>
      <w:pPr>
        <w:spacing w:after="160" w:line="276"/>
      </w:pPr>
      <w:r>
        <w:rPr>
          <w:b/>
          <w:bCs/>
        </w:rPr>
        <w:t xml:space="preserve">INTERROGATORY NO. 16:  </w:t>
      </w:r>
      <w:r>
        <w:t xml:space="preserve">For each of the September 3, 2024 and November 4, 2024 denial letters, describe the supervisory review performed before the letter was issued, identifying the reviewer(s), the steps taken, the date of the review, and any documents created during the review.</w:t>
      </w:r>
    </w:p>
    <w:p>
      <w:pPr>
        <w:spacing w:after="160" w:line="276"/>
      </w:pPr>
      <w:r>
        <w:rPr>
          <w:b/>
          <w:bCs/>
        </w:rPr>
        <w:t xml:space="preserve">INTERROGATORY NO. 17:  </w:t>
      </w:r>
      <w:r>
        <w:t xml:space="preserve">State each fact on which You base any contention that The Appraisal Award resolved The Claim within the meaning of Minn. Stat. § 604.18, subd. 4(b), and identify every window that the award is intended to cover and every window it is intended to exclude, with the document or communication supporting each identification.</w:t>
      </w:r>
    </w:p>
    <w:p>
      <w:pPr>
        <w:spacing w:after="160" w:line="276"/>
      </w:pPr>
      <w:r>
        <w:rPr>
          <w:b/>
          <w:bCs/>
        </w:rPr>
        <w:t xml:space="preserve">INTERROGATORY NO. 18:  </w:t>
      </w:r>
      <w:r>
        <w:t xml:space="preserve">State Your position, and the complete basis for it, on whether The Appraisal Award is binding on You as to causation under Quade v. Secura Insurance, 814 N.W.2d 703 (Minn. 2012).</w:t>
      </w:r>
    </w:p>
    <w:p>
      <w:pPr>
        <w:spacing w:after="160" w:line="276"/>
      </w:pPr>
      <w:r>
        <w:rPr>
          <w:b/>
          <w:bCs/>
        </w:rPr>
        <w:t xml:space="preserve">INTERROGATORY NO. 19:  </w:t>
      </w:r>
      <w:r>
        <w:t xml:space="preserve">Identify each engagement of Prieve Engineering by You or any Farmers affiliate on a Minnesota claim from January 1, 2020 forward, stating for each the file number, the claim number, the type of loss, and the causation finding reached.</w:t>
      </w:r>
    </w:p>
    <w:p>
      <w:pPr>
        <w:spacing w:after="160" w:line="276"/>
      </w:pPr>
      <w:r>
        <w:rPr>
          <w:b/>
          <w:bCs/>
        </w:rPr>
        <w:t xml:space="preserve">INTERROGATORY NO. 20:  </w:t>
      </w:r>
      <w:r>
        <w:t xml:space="preserve">Identify each engagement of Hancock Claims Consultants by You on a Minnesota claim from January 1, 2020 forward, stating for each the file number, the claim number, and the outcome.</w:t>
      </w:r>
    </w:p>
    <w:p>
      <w:pPr>
        <w:spacing w:after="160" w:line="276"/>
      </w:pPr>
      <w:r>
        <w:rPr>
          <w:b/>
          <w:bCs/>
        </w:rPr>
        <w:t xml:space="preserve">INTERROGATORY NO. 21:  </w:t>
      </w:r>
      <w:r>
        <w:t xml:space="preserve">State the factual basis for each affirmative defense asserted in Your Answer to the Complaint, and identify the documents and witnesses that support each such defense.</w:t>
      </w:r>
    </w:p>
    <w:p>
      <w:pPr>
        <w:spacing w:after="160" w:line="276"/>
      </w:pPr>
      <w:r>
        <w:rPr>
          <w:b/>
          <w:bCs/>
        </w:rPr>
        <w:t xml:space="preserve">INTERROGATORY NO. 22:  </w:t>
      </w:r>
      <w:r>
        <w:t xml:space="preserve">State the date on which Your litigation hold concerning this matter was issued, its recipients, its scope, and each update to it.</w:t>
      </w:r>
    </w:p>
    <w:p>
      <w:pPr>
        <w:spacing w:after="160" w:line="276"/>
      </w:pPr>
      <w:r>
        <w:rPr>
          <w:b/>
          <w:bCs/>
        </w:rPr>
        <w:t xml:space="preserve">INTERROGATORY NO. 23:  </w:t>
      </w:r>
      <w:r>
        <w:t xml:space="preserve">Identify each custodian and information system within Your possession, custody, or control that is likely to contain documents or electronically stored information responsive to Plaintiffs’ First Set of Requests for Production of Documents.</w:t>
      </w:r>
    </w:p>
    <w:p>
      <w:pPr>
        <w:spacing w:after="160" w:before="200" w:line="276"/>
      </w:pPr>
      <w:r>
        <w:t xml:space="preserve">Pursuant to Minn. R. Civ. P. 33.01(a), Plaintiffs state that the foregoing interrogatories number twenty-three (23) and, including all discrete subparts, do not exceed the fifty (50) interrogatories permitted without leave of court. Plaintiffs reserve the right to serve additional interrogatories by stipulation or upon leave of court, including any enlargement agreed at the Rule 26.06 conference.</w:t>
      </w:r>
    </w:p>
    <w:p>
      <w:pPr>
        <w:spacing w:after="160" w:before="240"/>
      </w:pPr>
      <w:r>
        <w:t xml:space="preserve">Dated: ______________, 2026.</w:t>
      </w:r>
    </w:p>
    <w:p>
      <w:pPr>
        <w:spacing w:after="160"/>
      </w:pPr>
      <w:r>
        <w:t xml:space="preserve">Respectfully submitted,</w:t>
      </w:r>
    </w:p>
    <w:p>
      <w:pPr>
        <w:spacing w:after="0" w:before="240"/>
      </w:pPr>
      <w:r>
        <w:t xml:space="preserve">______________________________</w:t>
      </w:r>
    </w:p>
    <w:p>
      <w:pPr>
        <w:spacing w:after="0"/>
      </w:pPr>
      <w:r>
        <w:t xml:space="preserve">Yibiao Lu, Plaintiff </w:t>
      </w:r>
      <w:r>
        <w:rPr>
          <w:i/>
          <w:iCs/>
        </w:rPr>
        <w:t xml:space="preserve">pro se</w:t>
      </w:r>
    </w:p>
    <w:p>
      <w:pPr>
        <w:spacing w:after="0" w:before="240"/>
      </w:pPr>
      <w:r>
        <w:t xml:space="preserve">______________________________</w:t>
      </w:r>
    </w:p>
    <w:p>
      <w:pPr>
        <w:spacing w:after="0"/>
      </w:pPr>
      <w:r>
        <w:t xml:space="preserve">Jie Hu, Plaintiff </w:t>
      </w:r>
      <w:r>
        <w:rPr>
          <w:i/>
          <w:iCs/>
        </w:rPr>
        <w:t xml:space="preserve">pro se</w:t>
      </w:r>
    </w:p>
    <w:p>
      <w:pPr>
        <w:spacing w:after="0" w:before="120"/>
      </w:pPr>
      <w:r>
        <w:t xml:space="preserve">17756 George Moran Dr.</w:t>
      </w:r>
    </w:p>
    <w:p>
      <w:pPr>
        <w:spacing w:after="0"/>
      </w:pPr>
      <w:r>
        <w:t xml:space="preserve">Eden Prairie, MN 55347</w:t>
      </w:r>
    </w:p>
    <w:p>
      <w:pPr>
        <w:spacing w:after="0"/>
      </w:pPr>
      <w:r>
        <w:t xml:space="preserve">Telephone: ______________   Email: ______________</w:t>
      </w:r>
    </w:p>
    <w:p>
      <w:pPr>
        <w:spacing w:after="160" w:before="360"/>
        <w:jc w:val="center"/>
      </w:pPr>
      <w:r>
        <w:rPr>
          <w:b/>
          <w:bCs/>
        </w:rPr>
        <w:t xml:space="preserve">CERTIFICATE OF SERVICE</w:t>
      </w:r>
    </w:p>
    <w:p>
      <w:pPr>
        <w:spacing w:after="160" w:line="276"/>
      </w:pPr>
      <w:r>
        <w:t xml:space="preserve">The undersigned certifies that on ______________, 2026, a true and correct copy of </w:t>
      </w:r>
      <w:r>
        <w:rPr>
          <w:i/>
          <w:iCs/>
        </w:rPr>
        <w:t xml:space="preserve">Plaintiffs’ First Set of Interrogatories to Defendant Fire Insurance Exchange</w:t>
      </w:r>
      <w:r>
        <w:t xml:space="preserve"> was served upon Defendant, through its attorney of record (or upon Defendant directly if no attorney has appeared), by ______________ [e-service through the Minnesota eFS system / email / U.S. Mail], at ______________, in accordance with Minn. R. Civ. P. 5. These discovery requests are served, not filed, in accordance with Minn. R. Civ. P. 5.04.</w:t>
      </w:r>
    </w:p>
    <w:p>
      <w:pPr>
        <w:spacing w:after="0" w:before="240"/>
      </w:pPr>
      <w:r>
        <w:t xml:space="preserve">______________________________</w:t>
      </w:r>
    </w:p>
    <w:p>
      <w:pPr>
        <w:spacing w:after="0"/>
      </w:pPr>
      <w:r>
        <w:t xml:space="preserve">Yibiao Lu, Plaintiff </w:t>
      </w:r>
      <w:r>
        <w:rPr>
          <w:i/>
          <w:iCs/>
        </w:rPr>
        <w:t xml:space="preserve">pro 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2026-08-09T23:29:21.979Z</dcterms:created>
  <dcterms:modified xsi:type="dcterms:W3CDTF">2026-08-09T23:29:21.993Z</dcterms:modified>
</cp:coreProperties>
</file>

<file path=docProps/custom.xml><?xml version="1.0" encoding="utf-8"?>
<Properties xmlns="http://schemas.openxmlformats.org/officeDocument/2006/custom-properties" xmlns:vt="http://schemas.openxmlformats.org/officeDocument/2006/docPropsVTypes"/>
</file>