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20" w:line="276"/>
        <w:ind w:left="360" w:hanging="36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20" w:line="276"/>
        <w:ind w:left="360" w:hanging="360"/>
      </w:pPr>
      <w:r>
        <w:rPr>
          <w:b/>
          <w:bCs/>
        </w:rPr>
        <w:t xml:space="preserve">"Plaintiffs" </w:t>
      </w:r>
      <w:r>
        <w:t xml:space="preserve">means Yibiao Lu and Jie Hu.</w:t>
      </w:r>
    </w:p>
    <w:p>
      <w:pPr>
        <w:spacing w:after="120" w:line="276"/>
        <w:ind w:left="360" w:hanging="360"/>
      </w:pPr>
      <w:r>
        <w:rPr>
          <w:b/>
          <w:bCs/>
        </w:rPr>
        <w:t xml:space="preserve">"The Claim" </w:t>
      </w:r>
      <w:r>
        <w:t xml:space="preserve">means Farmers claim number 7007986837-1-1, arising from the July 13, 2024 hail loss.</w:t>
      </w:r>
    </w:p>
    <w:p>
      <w:pPr>
        <w:spacing w:after="120" w:line="276"/>
        <w:ind w:left="360" w:hanging="360"/>
      </w:pPr>
      <w:r>
        <w:rPr>
          <w:b/>
          <w:bCs/>
        </w:rPr>
        <w:t xml:space="preserve">"The 2020 Claim" </w:t>
      </w:r>
      <w:r>
        <w:t xml:space="preserve">means Farmers claim number 3013539499-1.</w:t>
      </w:r>
    </w:p>
    <w:p>
      <w:pPr>
        <w:spacing w:after="120" w:line="276"/>
        <w:ind w:left="360" w:hanging="360"/>
      </w:pPr>
      <w:r>
        <w:rPr>
          <w:b/>
          <w:bCs/>
        </w:rPr>
        <w:t xml:space="preserve">"The Policy" </w:t>
      </w:r>
      <w:r>
        <w:t xml:space="preserve">means homeowner’s Policy 98055-49-65, including all endorsements, in force on July 13, 2024.</w:t>
      </w:r>
    </w:p>
    <w:p>
      <w:pPr>
        <w:spacing w:after="120" w:line="276"/>
        <w:ind w:left="360" w:hanging="360"/>
      </w:pPr>
      <w:r>
        <w:rPr>
          <w:b/>
          <w:bCs/>
        </w:rPr>
        <w:t xml:space="preserve">"The Property" </w:t>
      </w:r>
      <w:r>
        <w:t xml:space="preserve">means the insured dwelling at 17756 George Moran Dr., Eden Prairie, Minnesota 55347.</w:t>
      </w:r>
    </w:p>
    <w:p>
      <w:pPr>
        <w:spacing w:after="120" w:line="276"/>
        <w:ind w:left="360" w:hanging="360"/>
      </w:pPr>
      <w:r>
        <w:rPr>
          <w:b/>
          <w:bCs/>
        </w:rPr>
        <w:t xml:space="preserve">"The Prieve Report" </w:t>
      </w:r>
      <w:r>
        <w:t xml:space="preserve">means the report of Prieve Engineering, LLC, File #241008, together with all drafts thereof.</w:t>
      </w:r>
    </w:p>
    <w:p>
      <w:pPr>
        <w:spacing w:after="120" w:line="276"/>
        <w:ind w:left="360" w:hanging="360"/>
      </w:pPr>
      <w:r>
        <w:rPr>
          <w:b/>
          <w:bCs/>
        </w:rPr>
        <w:t xml:space="preserve">"The Appraisal Award" </w:t>
      </w:r>
      <w:r>
        <w:t xml:space="preserve">means the appraisal award entered September 12, 2025 under Minn. Stat. § 65A.01.</w:t>
      </w:r>
    </w:p>
    <w:p>
      <w:pPr>
        <w:spacing w:after="120" w:line="276"/>
        <w:ind w:left="360" w:hanging="36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20" w:line="276"/>
        <w:ind w:left="360" w:hanging="36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20" w:line="276"/>
        <w:ind w:left="360" w:hanging="360"/>
      </w:pPr>
      <w:r>
        <w:rPr>
          <w:b/>
          <w:bCs/>
        </w:rPr>
        <w:t xml:space="preserve">"Person" </w:t>
      </w:r>
      <w:r>
        <w:t xml:space="preserve">means any natural person or any business, legal, or governmental entity.</w:t>
      </w:r>
    </w:p>
    <w:p>
      <w:pPr>
        <w:spacing w:after="120" w:line="276"/>
        <w:ind w:left="360" w:hanging="36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20" w:line="276"/>
        <w:ind w:left="360" w:hanging="36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pPr>
      <w:r>
        <w:rPr>
          <w:b/>
          <w:bCs/>
        </w:rPr>
        <w:t xml:space="preserve">1.  </w:t>
      </w:r>
      <w:r>
        <w:t xml:space="preserve">Time period. Unless a particular request specifies otherwise, each request covers the period January 1, 2020 through the present.</w:t>
      </w:r>
    </w:p>
    <w:p>
      <w:pPr>
        <w:spacing w:after="160" w:line="276"/>
      </w:pPr>
      <w:r>
        <w:rPr>
          <w:b/>
          <w:bCs/>
        </w:rPr>
        <w:t xml:space="preserve">2.  </w:t>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pPr>
      <w:r>
        <w:rPr>
          <w:b/>
          <w:bCs/>
        </w:rPr>
        <w:t xml:space="preserve">3.  </w:t>
      </w:r>
      <w:r>
        <w:t xml:space="preserve">Continuing duty. These requests are continuing. You must seasonably supplement or correct Your responses and production pursuant to Minn. R. Civ. P. 26.05.</w:t>
      </w:r>
    </w:p>
    <w:p>
      <w:pPr>
        <w:spacing w:after="160" w:line="276"/>
      </w:pPr>
      <w:r>
        <w:rPr>
          <w:b/>
          <w:bCs/>
        </w:rPr>
        <w:t xml:space="preserve">4.  </w:t>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pPr>
      <w:r>
        <w:rPr>
          <w:b/>
          <w:bCs/>
        </w:rPr>
        <w:t xml:space="preserve">5.  </w:t>
      </w:r>
      <w:r>
        <w:t xml:space="preserve">Form of production of ESI. Produce electronically stored information in its native format with all metadata intact, or in another reasonably usable form as the parties may agree; do not degrade the searchability of any ESI.</w:t>
      </w:r>
    </w:p>
    <w:p>
      <w:pPr>
        <w:spacing w:after="160" w:line="276"/>
      </w:pPr>
      <w:r>
        <w:rPr>
          <w:b/>
          <w:bCs/>
        </w:rPr>
        <w:t xml:space="preserve">6.  </w:t>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pPr>
      <w:r>
        <w:rPr>
          <w:b/>
          <w:bCs/>
        </w:rPr>
        <w:t xml:space="preserve">7.  </w:t>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before="200"/>
        <w:jc w:val="center"/>
      </w:pPr>
      <w:r>
        <w:rPr>
          <w:b/>
          <w:bCs/>
          <w:caps/>
        </w:rPr>
        <w:t xml:space="preserve">Requests for Production</w:t>
      </w:r>
    </w:p>
    <w:p>
      <w:pPr>
        <w:spacing w:after="160" w:line="276"/>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pPr>
      <w:r>
        <w:rPr>
          <w:b/>
          <w:bCs/>
        </w:rPr>
        <w:t xml:space="preserve">REQUEST FOR PRODUCTION NO. 4:  </w:t>
      </w:r>
      <w:r>
        <w:t xml:space="preserve">All workproduct of Hancock Claims Consultants relating to the August 29, 2024 inspection of The Property, including the narrative report, field notes, measurement sheets, the complete systematic photograph set, all communications between Hancock and Farmers, all internal Hancock communications, billing records, and the Hancock retention agreement.</w:t>
      </w:r>
    </w:p>
    <w:p>
      <w:pPr>
        <w:spacing w:after="160" w:line="276"/>
      </w:pPr>
      <w:r>
        <w:rPr>
          <w:b/>
          <w:bCs/>
        </w:rPr>
        <w:t xml:space="preserve">REQUEST FOR PRODUCTION NO. 5:  </w:t>
      </w:r>
      <w:r>
        <w:t xml:space="preserve">The complete Prieve Engineering file for File #241008, including the engagement letter, retainer, statement or scope of work, billing records, field notes from the October 9, 2024 inspection, all drafts of the report and the final report, all peer reviews, and all communications between Prieve and You (including any comments on, or instructions to revise, any draft).</w:t>
      </w:r>
    </w:p>
    <w:p>
      <w:pPr>
        <w:spacing w:after="160" w:line="276"/>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pPr>
      <w:r>
        <w:rPr>
          <w:b/>
          <w:bCs/>
        </w:rPr>
        <w:t xml:space="preserve">REQUEST FOR PRODUCTION NO. 9:  </w:t>
      </w:r>
      <w:r>
        <w:t xml:space="preserve">All retention agreements between You (or any Farmers affiliate) and Prieve Engineering for Minnesota claims from January 1, 2020 forward, with the file number and claim number for each engagement.</w:t>
      </w:r>
    </w:p>
    <w:p>
      <w:pPr>
        <w:spacing w:after="160" w:line="276"/>
      </w:pPr>
      <w:r>
        <w:rPr>
          <w:b/>
          <w:bCs/>
        </w:rPr>
        <w:t xml:space="preserve">REQUEST FOR PRODUCTION NO. 10:  </w:t>
      </w:r>
      <w:r>
        <w:t xml:space="preserve">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w:t>
      </w:r>
    </w:p>
    <w:p>
      <w:pPr>
        <w:spacing w:after="160" w:line="276"/>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pPr>
      <w:r>
        <w:rPr>
          <w:b/>
          <w:bCs/>
        </w:rPr>
        <w:t xml:space="preserve">REQUEST FOR PRODUCTION NO. 12:  </w:t>
      </w:r>
      <w:r>
        <w:t xml:space="preserve">Any log or record reflecting the acceptance or rejection of non-engineer evidence on hail claims; if no such log exists, all communications evidencing that practice.</w:t>
      </w:r>
    </w:p>
    <w:p>
      <w:pPr>
        <w:spacing w:after="160" w:line="276"/>
      </w:pPr>
      <w:r>
        <w:rPr>
          <w:b/>
          <w:bCs/>
        </w:rPr>
        <w:t xml:space="preserve">REQUEST FOR PRODUCTION NO. 13:  </w:t>
      </w:r>
      <w:r>
        <w:t xml:space="preserve">Any reservation-of-rights letter ever issued on The Claim.</w:t>
      </w:r>
    </w:p>
    <w:p>
      <w:pPr>
        <w:spacing w:after="160" w:line="276"/>
      </w:pPr>
      <w:r>
        <w:rPr>
          <w:b/>
          <w:bCs/>
        </w:rPr>
        <w:t xml:space="preserve">REQUEST FOR PRODUCTION NO. 14:  </w:t>
      </w:r>
      <w:r>
        <w:t xml:space="preserve">Your litigation-hold notice for this matter, including the date of issuance, the recipients, the categories of material preserved, and all updates.</w:t>
      </w:r>
    </w:p>
    <w:p>
      <w:pPr>
        <w:spacing w:after="160" w:line="276"/>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pPr>
      <w:r>
        <w:rPr>
          <w:b/>
          <w:bCs/>
        </w:rPr>
        <w:t xml:space="preserve">REQUEST FOR PRODUCTION NO. 16:  </w:t>
      </w:r>
      <w:r>
        <w:t xml:space="preserve">The complete working file of umpire Wade Roos for the September 12, 2025 appraisal, including notes, calculations, photographs, measurements, drafts, and communications.</w:t>
      </w:r>
    </w:p>
    <w:p>
      <w:pPr>
        <w:spacing w:after="160" w:line="276"/>
      </w:pPr>
      <w:r>
        <w:rPr>
          <w:b/>
          <w:bCs/>
        </w:rPr>
        <w:t xml:space="preserve">REQUEST FOR PRODUCTION NO. 17:  </w:t>
      </w:r>
      <w:r>
        <w:t xml:space="preserve">The complete appraiser file of Greg Tomes, including notes, photographs, measurements, methodology, billing records, and any document reflecting his reasons for not signing The Appraisal Award.</w:t>
      </w:r>
    </w:p>
    <w:p>
      <w:pPr>
        <w:spacing w:after="160" w:line="276"/>
      </w:pPr>
      <w:r>
        <w:rPr>
          <w:b/>
          <w:bCs/>
        </w:rPr>
        <w:t xml:space="preserve">REQUEST FOR PRODUCTION NO. 18:  </w:t>
      </w:r>
      <w:r>
        <w:t xml:space="preserve">All correspondence with the Minnesota Department of Commerce regarding Complaint ID 93547.</w:t>
      </w:r>
    </w:p>
    <w:p>
      <w:pPr>
        <w:spacing w:after="160" w:line="276"/>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pPr>
      <w:r>
        <w:rPr>
          <w:b/>
          <w:bCs/>
        </w:rPr>
        <w:t xml:space="preserve">REQUEST FOR PRODUCTION NO. 20:  </w:t>
      </w:r>
      <w:r>
        <w:t xml:space="preserve">The complete claims-portal record for The Claim, including all messages, document uploads, and status entries.</w:t>
      </w:r>
    </w:p>
    <w:p>
      <w:pPr>
        <w:spacing w:after="160" w:line="276"/>
      </w:pPr>
      <w:r>
        <w:rPr>
          <w:b/>
          <w:bCs/>
        </w:rPr>
        <w:t xml:space="preserve">REQUEST FOR PRODUCTION NO. 21:  </w:t>
      </w:r>
      <w:r>
        <w:t xml:space="preserve">The complete audit trail for The Claim file, including every entry, edit, deletion, or supplementation, with the timestamp and user for each.</w:t>
      </w:r>
    </w:p>
    <w:p>
      <w:pPr>
        <w:spacing w:after="160" w:line="276"/>
      </w:pPr>
      <w:r>
        <w:rPr>
          <w:b/>
          <w:bCs/>
        </w:rPr>
        <w:t xml:space="preserve">REQUEST FOR PRODUCTION NO. 22:  </w:t>
      </w:r>
      <w:r>
        <w:t xml:space="preserve">All prior-claim inspection records for The Property, including the inspection records for the 2014, 2015, and 2020 claims.</w:t>
      </w:r>
    </w:p>
    <w:p>
      <w:pPr>
        <w:spacing w:after="160" w:line="276"/>
      </w:pPr>
      <w:r>
        <w:rPr>
          <w:b/>
          <w:bCs/>
        </w:rPr>
        <w:t xml:space="preserve">REQUEST FOR PRODUCTION NO. 23:  </w:t>
      </w:r>
      <w:r>
        <w:t xml:space="preserve">The complete October 13, 2020 Farmers Insurance photograph log for The Property referenced at page 7 of the Prieve Report,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pPr>
      <w:r>
        <w:rPr>
          <w:b/>
          <w:bCs/>
        </w:rPr>
        <w:t xml:space="preserve">REQUEST FOR PRODUCTION NO. 28:  </w:t>
      </w:r>
      <w:r>
        <w:t xml:space="preserve">All documents identifying Hancock Claims Consultants’ Minnesota engagements from January 1, 2020 forward, including retention agreements and file lists.</w:t>
      </w:r>
    </w:p>
    <w:p>
      <w:pPr>
        <w:spacing w:after="160" w:line="276"/>
      </w:pPr>
      <w:r>
        <w:rPr>
          <w:b/>
          <w:bCs/>
        </w:rPr>
        <w:t xml:space="preserve">REQUEST FOR PRODUCTION NO. 29:  </w:t>
      </w:r>
      <w:r>
        <w:t xml:space="preserve">All internal Farmers communications referring to The Appraisal Award from September 12, 2025 through the date of production.</w:t>
      </w:r>
    </w:p>
    <w:p>
      <w:pPr>
        <w:spacing w:after="160" w:line="276"/>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240"/>
      </w:pPr>
      <w:r>
        <w:t xml:space="preserve">Dated: ______________, 2026.</w:t>
      </w:r>
    </w:p>
    <w:p>
      <w:pPr>
        <w:spacing w:after="160"/>
      </w:pPr>
      <w:r>
        <w:t xml:space="preserve">Respectfully submitted,</w:t>
      </w:r>
    </w:p>
    <w:p>
      <w:pPr>
        <w:spacing w:after="0" w:before="240"/>
      </w:pPr>
      <w:r>
        <w:t xml:space="preserve">______________________________</w:t>
      </w:r>
    </w:p>
    <w:p>
      <w:pPr>
        <w:spacing w:after="0"/>
      </w:pPr>
      <w:r>
        <w:t xml:space="preserve">Yibiao Lu, Plaintiff </w:t>
      </w:r>
      <w:r>
        <w:rPr>
          <w:i/>
          <w:iCs/>
        </w:rPr>
        <w:t xml:space="preserve">pro se</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 xml:space="preserve">Telephone: ______________   Email: ______________</w:t>
      </w:r>
    </w:p>
    <w:p>
      <w:pPr>
        <w:spacing w:after="160" w:before="360"/>
        <w:jc w:val="center"/>
      </w:pPr>
      <w:r>
        <w:rPr>
          <w:b/>
          <w:bCs/>
        </w:rPr>
        <w:t xml:space="preserve">CERTIFICATE OF SERVICE</w:t>
      </w:r>
    </w:p>
    <w:p>
      <w:pPr>
        <w:spacing w:after="160" w:line="276"/>
      </w:pPr>
      <w:r>
        <w:t xml:space="preserve">The undersigned certifies that on ______________, 2026, a true and correct copy of </w:t>
      </w:r>
      <w:r>
        <w:rPr>
          <w:i/>
          <w:iCs/>
        </w:rPr>
        <w:t xml:space="preserve">Plaintiffs’ First Set of Requests for Production of Documents to Defendant Fire Insurance Exchange</w:t>
      </w:r>
      <w:r>
        <w:t xml:space="preserve"> was served upon Defendant, through its attorney of record (or upon Defendant directly if no attorney has appeared), by ______________ [e-service through the Minnesota eFS system / email / U.S. Mail], at ______________, in accordance with Minn. R. Civ. P. 5. These discovery requests are served, not filed, in accordance with Minn. R. Civ. P. 5.04.</w:t>
      </w:r>
    </w:p>
    <w:p>
      <w:pPr>
        <w:spacing w:after="0" w:before="240"/>
      </w:pPr>
      <w:r>
        <w:t xml:space="preserve">______________________________</w:t>
      </w:r>
    </w:p>
    <w:p>
      <w:pPr>
        <w:spacing w:after="0"/>
      </w:pPr>
      <w:r>
        <w:t xml:space="preserve">Yibiao Lu, Plaintiff </w:t>
      </w:r>
      <w:r>
        <w:rPr>
          <w:i/>
          <w:iCs/>
        </w:rPr>
        <w:t xml:space="preserve">pro 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