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0" w:line="240" w:lineRule="auto"/>
        <w:ind w:left="720" w:hanging="720"/>
      </w:pPr>
      <w:r>
        <w:rPr>
          <w:b/>
        </w:rPr>
        <w:t xml:space="preserve">REQUEST FOR PRODUCTION NO. 42:  </w:t>
      </w:r>
      <w:r>
        <w:rP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pPr>
        <w:spacing w:after="160" w:before="0" w:line="240" w:lineRule="auto"/>
        <w:ind w:left="720" w:hanging="720"/>
      </w:pPr>
      <w:r>
        <w:rPr>
          <w:b/>
        </w:rPr>
        <w:t xml:space="preserve">REQUEST FOR PRODUCTION NO. 43:  </w:t>
      </w:r>
      <w:r>
        <w:rPr/>
        <w:t>All documents concerning any inspection, estimate, valuation, or claim activity at The Property between January 1, 2021 and July 12, 2024, including the Building Loss Worksheet dated October 7, 2021 and the Farmers Insurance Letter and Estimate dated February 18, 2022, and including any claim number under which such activity was recorded.</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