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 window above the main entry (photographs A-48 through A-50), the main-level window on the west side, south of the entry (photographs A-52 and A-55 through A-58, with a dent on the bottom frame at A-56), the upper-level bedroom window on the west side, south of the entry (photographs A-59 through A-65), the upper southeast-facing family room window (photographs A-106 and A-107; Prieve documents a dent with scrape marks in the frame at A-107),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A-163) and the southeast window at porch (photographs A-164 through A-166), the east-facing window at the porch (photographs A-167 through A-172) and the northeast-facing window at the porch (photographs A-173 through A-175), the north-facing porch window (photographs A-176 through A-183, which Defendant's engineer attributes to the 2020 prior claim — an attribution Plaintiffs dispute as to all sashes beyond the two previously paid), the east-facing kitchen corner window (photographs A-184 through A-186) and the north-facing kitchen corner window (photographs A-190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a sliding-door window — photograph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