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b w:val="0"/>
          <w:i w:val="0"/>
        </w:rPr>
        <w:t>Yibiao Lu and Jie Hu</w:t>
      </w:r>
    </w:p>
    <w:p>
      <w:pPr>
        <w:spacing w:after="0" w:before="0" w:line="240" w:lineRule="auto"/>
      </w:pPr>
      <w:r>
        <w:rPr>
          <w:b w:val="0"/>
          <w:i w:val="0"/>
        </w:rPr>
        <w:t>17756 George Moran Dr.</w:t>
      </w:r>
    </w:p>
    <w:p>
      <w:pPr>
        <w:spacing w:after="0" w:before="0" w:line="240" w:lineRule="auto"/>
      </w:pPr>
      <w:r>
        <w:rPr>
          <w:b w:val="0"/>
          <w:i w:val="0"/>
        </w:rPr>
        <w:t>Eden Prairie, MN 55347</w:t>
      </w:r>
    </w:p>
    <w:p>
      <w:pPr>
        <w:spacing w:after="240" w:before="0" w:line="240" w:lineRule="auto"/>
      </w:pPr>
      <w:r>
        <w:rPr>
          <w:b w:val="0"/>
          <w:i w:val="0"/>
        </w:rPr>
        <w:t>Email: ______________   |   Telephone: ______________</w:t>
      </w:r>
    </w:p>
    <w:p>
      <w:pPr>
        <w:spacing w:after="240" w:before="0" w:line="240" w:lineRule="auto"/>
      </w:pPr>
      <w:r>
        <w:rPr>
          <w:b w:val="0"/>
          <w:i w:val="0"/>
        </w:rPr>
        <w:t>August ___, 2026</w:t>
      </w:r>
    </w:p>
    <w:p>
      <w:pPr>
        <w:spacing w:after="0" w:before="0" w:line="240" w:lineRule="auto"/>
      </w:pPr>
      <w:r>
        <w:rPr>
          <w:b/>
          <w:i w:val="0"/>
        </w:rPr>
        <w:t>VIA EMAIL AND U.S. MAIL</w:t>
      </w:r>
    </w:p>
    <w:p>
      <w:pPr>
        <w:spacing w:after="0" w:before="0" w:line="240" w:lineRule="auto"/>
      </w:pPr>
      <w:r>
        <w:rPr>
          <w:b w:val="0"/>
          <w:i w:val="0"/>
        </w:rPr>
        <w:t>Kevin J. Kennedy, Esq.</w:t>
      </w:r>
    </w:p>
    <w:p>
      <w:pPr>
        <w:spacing w:after="0" w:before="0" w:line="240" w:lineRule="auto"/>
      </w:pPr>
      <w:r>
        <w:rPr>
          <w:b w:val="0"/>
          <w:i w:val="0"/>
        </w:rPr>
        <w:t>Mary J. Baskfield, Esq.</w:t>
      </w:r>
    </w:p>
    <w:p>
      <w:pPr>
        <w:spacing w:after="0" w:before="0" w:line="240" w:lineRule="auto"/>
      </w:pPr>
      <w:r>
        <w:rPr>
          <w:b w:val="0"/>
          <w:i w:val="0"/>
        </w:rPr>
        <w:t>Kennedy Law Firm P.C.</w:t>
      </w:r>
    </w:p>
    <w:p>
      <w:pPr>
        <w:spacing w:after="0" w:before="0" w:line="240" w:lineRule="auto"/>
      </w:pPr>
      <w:r>
        <w:rPr>
          <w:b w:val="0"/>
          <w:i w:val="0"/>
        </w:rPr>
        <w:t>7616 Currell Blvd., Suite 270</w:t>
      </w:r>
    </w:p>
    <w:p>
      <w:pPr>
        <w:spacing w:after="0" w:before="0" w:line="240" w:lineRule="auto"/>
      </w:pPr>
      <w:r>
        <w:rPr>
          <w:b w:val="0"/>
          <w:i w:val="0"/>
        </w:rPr>
        <w:t>Woodbury, MN 55125</w:t>
      </w:r>
    </w:p>
    <w:p>
      <w:pPr>
        <w:spacing w:after="240" w:before="0" w:line="240" w:lineRule="auto"/>
      </w:pPr>
      <w:r>
        <w:rPr>
          <w:b w:val="0"/>
          <w:i w:val="0"/>
        </w:rPr>
        <w:t>Email: kkennedy@kennedylf.com; mbaskfield@kennedylf.com</w:t>
      </w:r>
    </w:p>
    <w:p>
      <w:pPr>
        <w:spacing w:after="240" w:before="0" w:line="240" w:lineRule="auto"/>
      </w:pPr>
      <w:r>
        <w:rPr>
          <w:b/>
        </w:rPr>
        <w:t xml:space="preserve">Re:  </w:t>
      </w:r>
      <w:r>
        <w:rPr>
          <w:b/>
        </w:rPr>
        <w:t xml:space="preserve">Yibiao Lu and Jie Hu v. Fire Insurance Exchange, Hennepin County District Court, Court File No. 27-CV-26-11606 — </w:t>
      </w:r>
      <w:r>
        <w:rPr>
          <w:b/>
        </w:rPr>
        <w:t>Demand to Preserve Evidence (Litigation Hold)</w:t>
      </w:r>
    </w:p>
    <w:p>
      <w:pPr>
        <w:spacing w:after="160" w:before="0" w:line="240" w:lineRule="auto"/>
      </w:pPr>
      <w:r>
        <w:rPr>
          <w:b w:val="0"/>
          <w:i w:val="0"/>
        </w:rPr>
        <w:t>Counsel:</w:t>
      </w:r>
    </w:p>
    <w:p>
      <w:pPr>
        <w:spacing w:after="160" w:before="0" w:line="240" w:lineRule="auto"/>
      </w:pPr>
      <w:r>
        <w:rPr>
          <w:b w:val="0"/>
        </w:rPr>
        <w:t>This letter is a formal demand that your client, Fire Insurance Exchange ("FIE"), and all persons and entities acting on its behalf, immediately preserve and refrain from destroying, deleting, altering, overwriting, or discarding all documents, electronically stored information ("ESI"), and tangible items relating to the above-captioned action, Farmers claim number 7007986837-1-1 (the "Claim"), and Farmers claim number 3013539499-1 (the "2020 Claim"). Litigation is pending and FIE's duty to preserve relevant evidence is now in full effect.</w:t>
      </w:r>
    </w:p>
    <w:p>
      <w:pPr>
        <w:spacing w:after="160" w:before="0" w:line="240" w:lineRule="auto"/>
      </w:pPr>
      <w:r>
        <w:rPr>
          <w:b w:val="0"/>
        </w:rPr>
        <w:t>This obligation extends to material in the possession, custody, or control of FIE, its attorney-in-fact Fire Underwriters Association, and its agents, adjusters, employees, third-party administrators, retained experts, and independent adjusting firms, including without limitation Hancock Claims Consultants and Prieve Engineering, LLC. Please immediately suspend any automatic deletion, overwriting, recycling, or document-destruction process — including email auto-deletion, claim-system purging, and backup-tape recycling — that could result in the loss of responsive material, and issue a written litigation hold to all custodians if you have not already done so.</w:t>
      </w:r>
    </w:p>
    <w:p>
      <w:pPr>
        <w:spacing w:after="160" w:before="0" w:line="240" w:lineRule="auto"/>
      </w:pPr>
      <w:r>
        <w:rPr>
          <w:b w:val="0"/>
        </w:rPr>
        <w:t>Without limiting the breadth of the foregoing, the material to be preserved specifically includes:</w:t>
      </w:r>
    </w:p>
    <w:p>
      <w:pPr>
        <w:spacing w:after="120" w:before="0" w:line="240" w:lineRule="auto"/>
        <w:ind w:left="720" w:hanging="360"/>
      </w:pPr>
      <w:r>
        <w:rPr>
          <w:b/>
        </w:rPr>
        <w:t xml:space="preserve">•  </w:t>
      </w:r>
      <w:r>
        <w:t>The complete claim file for the Claim, including every case note, activity-log entry, and the full audit trail showing each entry, edit, deletion, and supplementation, with timestamps and user identifications;</w:t>
      </w:r>
    </w:p>
    <w:p>
      <w:pPr>
        <w:spacing w:after="120" w:before="0" w:line="240" w:lineRule="auto"/>
        <w:ind w:left="720" w:hanging="360"/>
      </w:pPr>
      <w:r>
        <w:rPr>
          <w:b/>
        </w:rPr>
        <w:t xml:space="preserve">•  </w:t>
      </w:r>
      <w:r>
        <w:t>The complete file for the 2020 Claim, including the Xactimate estimate, building-loss worksheet, all line items, and the complete October 13, 2020 photograph log for the Property referenced at page 7 of the Prieve Report;</w:t>
      </w:r>
    </w:p>
    <w:p>
      <w:pPr>
        <w:spacing w:after="120" w:before="0" w:line="240" w:lineRule="auto"/>
        <w:ind w:left="720" w:hanging="360"/>
      </w:pPr>
      <w:r>
        <w:rPr>
          <w:b/>
        </w:rPr>
        <w:t xml:space="preserve">•  </w:t>
      </w:r>
      <w:r>
        <w:t>All notes, sketches, measurements, photographs, and any other record — paper or electronic — created by Senior Claim Adjuster Nicholas Brau in connection with his September 6, 2024 inspection of the Property;</w:t>
      </w:r>
    </w:p>
    <w:p>
      <w:pPr>
        <w:spacing w:after="120" w:before="0" w:line="240" w:lineRule="auto"/>
        <w:ind w:left="720" w:hanging="360"/>
      </w:pPr>
      <w:r>
        <w:rPr>
          <w:b/>
        </w:rPr>
        <w:t xml:space="preserve">•  </w:t>
      </w:r>
      <w:r>
        <w:t>The complete Prieve Engineering file for File #241008, including the engagement letter and scope of work, all drafts and the final report, all internal and external communications, and all native, original digital photographs from the October 9, 2024 inspection (not limited to Photo Appendix A) with all metadata and original file names intact;</w:t>
      </w:r>
    </w:p>
    <w:p>
      <w:pPr>
        <w:spacing w:after="120" w:before="0" w:line="240" w:lineRule="auto"/>
        <w:ind w:left="720" w:hanging="360"/>
      </w:pPr>
      <w:r>
        <w:rPr>
          <w:b/>
        </w:rPr>
        <w:t xml:space="preserve">•  </w:t>
      </w:r>
      <w:r>
        <w:t>The complete workproduct of Hancock Claims Consultants relating to the August 29, 2024 inspection, including field notes and the complete systematic photograph set;</w:t>
      </w:r>
    </w:p>
    <w:p>
      <w:pPr>
        <w:spacing w:after="120" w:before="0" w:line="240" w:lineRule="auto"/>
        <w:ind w:left="720" w:hanging="360"/>
      </w:pPr>
      <w:r>
        <w:rPr>
          <w:b/>
        </w:rPr>
        <w:t xml:space="preserve">•  </w:t>
      </w:r>
      <w:r>
        <w:t>The complete files of appraiser Greg Tomes and umpire Wade Roos, and all correspondence with the appraisal panel;</w:t>
      </w:r>
    </w:p>
    <w:p>
      <w:pPr>
        <w:spacing w:after="120" w:before="0" w:line="240" w:lineRule="auto"/>
        <w:ind w:left="720" w:hanging="360"/>
      </w:pPr>
      <w:r>
        <w:rPr>
          <w:b/>
        </w:rPr>
        <w:t xml:space="preserve">•  </w:t>
      </w:r>
      <w:r>
        <w:t>All recordings and transcripts of telephone calls and voicemails between FIE and Plaintiffs, including the February 10, 2025 voicemail;</w:t>
      </w:r>
    </w:p>
    <w:p>
      <w:pPr>
        <w:spacing w:after="120" w:before="0" w:line="240" w:lineRule="auto"/>
        <w:ind w:left="720" w:hanging="360"/>
      </w:pPr>
      <w:r>
        <w:rPr>
          <w:b/>
        </w:rPr>
        <w:t xml:space="preserve">•  </w:t>
      </w:r>
      <w:r>
        <w:t>All drafts, revisions, and internal quality-control or supervisory reviews of the September 3, 2024 and November 4, 2024 denial letters;</w:t>
      </w:r>
    </w:p>
    <w:p>
      <w:pPr>
        <w:spacing w:after="120" w:before="0" w:line="240" w:lineRule="auto"/>
        <w:ind w:left="720" w:hanging="360"/>
      </w:pPr>
      <w:r>
        <w:rPr>
          <w:b/>
        </w:rPr>
        <w:t xml:space="preserve">•  </w:t>
      </w:r>
      <w:r>
        <w:t>All internal communications and written policies, procedures, and training materials concerning the handling of the Claim and concerning any requirement that evidence be provided by an engineer; and</w:t>
      </w:r>
    </w:p>
    <w:p>
      <w:pPr>
        <w:spacing w:after="120" w:before="0" w:line="240" w:lineRule="auto"/>
        <w:ind w:left="720" w:hanging="360"/>
      </w:pPr>
      <w:r>
        <w:rPr>
          <w:b/>
        </w:rPr>
        <w:t xml:space="preserve">•  </w:t>
      </w:r>
      <w:r>
        <w:t>All communications with the Minnesota Department of Commerce regarding Complaint ID 93547.</w:t>
      </w:r>
    </w:p>
    <w:p>
      <w:pPr>
        <w:spacing w:after="120" w:before="0" w:line="240" w:lineRule="auto"/>
      </w:pPr>
    </w:p>
    <w:p>
      <w:pPr>
        <w:spacing w:after="160" w:before="0" w:line="240" w:lineRule="auto"/>
      </w:pPr>
      <w:r>
        <w:rPr>
          <w:b w:val="0"/>
        </w:rPr>
        <w:t>ESI must be preserved in its native format with all metadata intact; please do not print-to-image, flatten, or otherwise degrade the searchability or metadata of any responsive ESI. Preservation includes information on all systems and devices, including claim-management systems, email accounts, mobile devices, shared drives, and cloud storage, and any backup or archival copies.</w:t>
      </w:r>
    </w:p>
    <w:p>
      <w:pPr>
        <w:spacing w:after="160" w:before="0" w:line="240" w:lineRule="auto"/>
      </w:pPr>
      <w:r>
        <w:rPr>
          <w:b w:val="0"/>
        </w:rPr>
        <w:t>Please be advised that the failure to preserve this evidence may constitute spoliation, exposing FIE to evidentiary sanctions, including an adverse-inference instruction, and other relief under Minn. R. Civ. P. 37. FIE is a regulated insurer subject to the claim-file documentation requirements of Minn. Stat. § 72A.201, including Subdivision 9(3).</w:t>
      </w:r>
    </w:p>
    <w:p>
      <w:pPr>
        <w:spacing w:after="240" w:before="0" w:line="240" w:lineRule="auto"/>
      </w:pPr>
      <w:r>
        <w:rPr>
          <w:b w:val="0"/>
        </w:rPr>
        <w:t>Please confirm in writing, within fourteen (14) days, that FIE has issued a litigation hold consistent with this demand and has suspended any process that could result in the loss of responsive material. Nothing in this letter limits any other preservation obligation imposed by law or rule, and Plaintiffs reserve all rights.</w:t>
      </w:r>
    </w:p>
    <w:p>
      <w:pPr>
        <w:spacing w:after="360" w:before="0" w:line="240" w:lineRule="auto"/>
      </w:pPr>
      <w:r>
        <w:rPr>
          <w:b w:val="0"/>
          <w:i w:val="0"/>
        </w:rPr>
        <w:t>Sincerely,</w:t>
      </w:r>
    </w:p>
    <w:p>
      <w:pPr>
        <w:spacing w:after="0" w:before="0" w:line="240" w:lineRule="auto"/>
      </w:pPr>
      <w:r>
        <w:rPr>
          <w:b w:val="0"/>
          <w:i w:val="0"/>
        </w:rPr>
        <w:t>______________________________</w:t>
      </w:r>
    </w:p>
    <w:p>
      <w:pPr>
        <w:spacing w:after="0" w:before="0" w:line="240" w:lineRule="auto"/>
      </w:pPr>
      <w:r>
        <w:rPr>
          <w:b w:val="0"/>
          <w:i w:val="0"/>
        </w:rPr>
        <w:t>Yibiao Lu</w:t>
      </w:r>
    </w:p>
    <w:p>
      <w:pPr>
        <w:spacing w:after="240" w:before="0" w:line="240" w:lineRule="auto"/>
      </w:pPr>
    </w:p>
    <w:p>
      <w:pPr>
        <w:spacing w:after="0" w:before="0" w:line="240" w:lineRule="auto"/>
      </w:pPr>
      <w:r>
        <w:rPr>
          <w:b w:val="0"/>
          <w:i w:val="0"/>
        </w:rPr>
        <w:t>______________________________</w:t>
      </w:r>
    </w:p>
    <w:p>
      <w:pPr>
        <w:spacing w:after="0" w:before="0" w:line="240" w:lineRule="auto"/>
      </w:pPr>
      <w:r>
        <w:rPr>
          <w:b w:val="0"/>
          <w:i w:val="0"/>
        </w:rPr>
        <w:t>Jie Hu</w:t>
      </w:r>
    </w:p>
    <w:p>
      <w:pPr>
        <w:spacing w:after="0" w:before="0" w:line="240" w:lineRule="auto"/>
      </w:pPr>
      <w:r>
        <w:rPr>
          <w:b w:val="0"/>
          <w:i w:val="0"/>
        </w:rPr>
        <w:t>Plaintiffs pro 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