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 xml:space="preserve">Time period. Unless a particular request specifies otherwise, each request covers the period January 1, 2020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 xml:space="preserve">Form of production of ESI. Produce electronically stored information in its native format with all metadata intact, or in another reasonably usable form as the parties may agree; do not degrade the searchability of any ESI.</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 xml:space="preserve">All workproduct of Hancock Claims Consultants relating to the August 29, 2024 inspection of The Property, including the narrative report, field notes, measurement sheets, the complete systematic photograph set, all communications between Hancock and Farmers, all internal Hancock communications, billing records, and the Hancock retention agreement.</w:t>
      </w:r>
    </w:p>
    <w:p>
      <w:pPr>
        <w:spacing w:after="160" w:line="276"/>
      </w:pPr>
      <w:r>
        <w:rPr>
          <w:b/>
          <w:bCs/>
        </w:rPr>
        <w:t xml:space="preserve">REQUEST FOR PRODUCTION NO. 5:  </w:t>
      </w:r>
      <w:r>
        <w:t>The complete Prieve Engineering file for File #241008, including the engagement letter, retainer, statement or scope of work, billing records, field notes from the October 9, 2024 inspection, all drafts of the report and the final report, all peer reviews, and all communications between Prieve and You (including any comments on, or instructions to revise, any draft), and any impact-force, terminal-velocity, hail-size-threshold, or other engineering calculations, analyses, models, or worksheets underlying the report’s conclusions.</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All retention agreements between You (or any Farmers affiliate) and Prieve Engineering for Minnesota claims from January 1, 2020 forward, with the file number and claim number for each engagement, together with documents sufficient to identify, for each such engagement, the type of loss and the causation finding reached.</w:t>
      </w:r>
    </w:p>
    <w:p>
      <w:pPr>
        <w:spacing w:after="160" w:line="276"/>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 xml:space="preserve">Any log or record reflecting the acceptance or rejection of non-engineer evidence on hail claims; if no such log exists, all communications evidencing that practice.</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 xml:space="preserve">Your litigation-hold notice for this matter, including the date of issuance, the recipients, the categories of material preserved, and all updates.</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 xml:space="preserve">The complete working file of umpire Wade Roos for the September 12, 2025 appraisal, including notes, calculations, photographs, measurements, drafts, and communications.</w:t>
      </w:r>
    </w:p>
    <w:p>
      <w:pPr>
        <w:spacing w:after="160" w:line="276"/>
      </w:pPr>
      <w:r>
        <w:rPr>
          <w:b/>
          <w:bCs/>
        </w:rPr>
        <w:t xml:space="preserve">REQUEST FOR PRODUCTION NO. 17:  </w:t>
      </w:r>
      <w:r>
        <w:t xml:space="preserve">The complete appraiser file of Greg Tomes, including notes, photographs, measurements, methodology, billing records, and any document reflecting his reasons for not signing The Appraisal Award.</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 xml:space="preserve">The complete audit trail for The Claim file, including every entry, edit, deletion, or supplementation, with the timestamp and user for each.</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 xml:space="preserve">The complete October 13, 2020 Farmers Insurance photograph log for The Property referenced at page 7 of the Prieve Report,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All documents identifying Hancock Claims Consultants’ Minnesota engagements from January 1, 2020 forward, including retention agreements and file lists, and documents sufficient to identify the outcome of each such engagement.</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pPr>
      <w:r>
        <w:rPr>
          <w:i/>
        </w:rPr>
        <w:t>[ Optional — delete this note before serving. The following request seeks vendor-pattern discovery and may draw an overbreadth objection; serve it only if you choose to pursue vendor-bias discovery, or narrow it to Minnesota hail claims. ]</w:t>
      </w:r>
    </w:p>
    <w:p>
      <w:pPr>
        <w:spacing w:after="160" w:before="0" w:line="240" w:lineRule="auto"/>
      </w:pPr>
      <w:r>
        <w:rPr>
          <w:b/>
        </w:rPr>
        <w:t xml:space="preserve">REQUEST FOR PRODUCTION NO. 33:  </w:t>
      </w:r>
      <w:r>
        <w:t>All vendor-management, selection, oversight, performance-evaluation, and service-agreement documents concerning Hancock Claims Consultants and Prieve Engineering, LLC from January 1, 2020 forward, including documents reflecting the volume of assignments to, and payments made to, each.</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