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t>STATE OF MINNESOTA</w:t>
            </w:r>
          </w:p>
          <w:p>
            <w:pPr>
              <w:spacing w:after="0" w:before="0" w:line="240" w:lineRule="auto"/>
            </w:pPr>
            <w:r>
              <w:t>COUNTY OF HENNEPIN</w:t>
            </w:r>
          </w:p>
          <w:p>
            <w:pPr>
              <w:spacing w:after="0" w:before="0" w:line="240" w:lineRule="auto"/>
            </w:pPr>
          </w:p>
          <w:p>
            <w:pPr>
              <w:spacing w:after="0" w:before="0" w:line="240" w:lineRule="auto"/>
            </w:pPr>
            <w:r>
              <w:t>Yibiao Lu and Jie Hu,</w:t>
            </w:r>
          </w:p>
          <w:p>
            <w:pPr>
              <w:spacing w:after="0" w:before="0" w:line="240" w:lineRule="auto"/>
            </w:pPr>
            <w:r>
              <w:tab/>
              <w:tab/>
              <w:tab/>
              <w:t>Plaintiffs,</w:t>
            </w:r>
          </w:p>
          <w:p>
            <w:pPr>
              <w:spacing w:after="0" w:before="0" w:line="240" w:lineRule="auto"/>
            </w:pPr>
          </w:p>
          <w:p>
            <w:pPr>
              <w:spacing w:after="0" w:before="0" w:line="240" w:lineRule="auto"/>
            </w:pPr>
            <w:r>
              <w:t>vs.</w:t>
            </w:r>
          </w:p>
          <w:p>
            <w:pPr>
              <w:spacing w:after="0" w:before="0" w:line="240" w:lineRule="auto"/>
            </w:pPr>
          </w:p>
          <w:p>
            <w:pPr>
              <w:spacing w:after="0" w:before="0" w:line="240" w:lineRule="auto"/>
            </w:pPr>
            <w:r>
              <w:t>Fire Insurance Exchange, by and through its attorney-in-fact Fire Underwriters Association, doing business as Farmers Insurance,</w:t>
            </w:r>
          </w:p>
          <w:p>
            <w:pPr>
              <w:spacing w:after="0" w:before="0" w:line="240" w:lineRule="auto"/>
            </w:pPr>
          </w:p>
          <w:p>
            <w:pPr>
              <w:spacing w:after="0" w:before="0" w:line="240" w:lineRule="auto"/>
            </w:pPr>
            <w:r>
              <w:tab/>
              <w:tab/>
              <w:tab/>
              <w:t>Defendant.</w:t>
            </w:r>
          </w:p>
        </w:tc>
        <w:tc>
          <w:tcPr>
            <w:tcW w:type="dxa" w:w="4460"/>
          </w:tcPr>
          <w:p>
            <w:pPr>
              <w:spacing w:after="0" w:before="0" w:line="240" w:lineRule="auto"/>
            </w:pPr>
            <w:r>
              <w:t>DISTRICT COURT</w:t>
            </w:r>
          </w:p>
          <w:p>
            <w:pPr>
              <w:spacing w:after="0" w:before="0" w:line="240" w:lineRule="auto"/>
            </w:pPr>
            <w:r>
              <w:t>FOURTH JUDICIAL DISTRICT</w:t>
            </w:r>
          </w:p>
          <w:p>
            <w:pPr>
              <w:spacing w:after="0" w:before="0" w:line="240" w:lineRule="auto"/>
            </w:pPr>
          </w:p>
          <w:p>
            <w:pPr>
              <w:spacing w:after="0" w:before="0" w:line="240" w:lineRule="auto"/>
            </w:pPr>
            <w:r>
              <w:t>Case Type: Contract</w:t>
            </w:r>
          </w:p>
          <w:p>
            <w:pPr>
              <w:spacing w:after="0" w:before="0" w:line="240" w:lineRule="auto"/>
            </w:pPr>
          </w:p>
          <w:p>
            <w:pPr>
              <w:spacing w:after="0" w:before="0" w:line="240" w:lineRule="auto"/>
            </w:pPr>
            <w:r>
              <w:t>Court File No. 27-CV-26-11606</w:t>
            </w:r>
          </w:p>
          <w:p>
            <w:pPr>
              <w:spacing w:after="0" w:before="0" w:line="240" w:lineRule="auto"/>
            </w:pPr>
          </w:p>
          <w:p>
            <w:pPr>
              <w:spacing w:after="0" w:before="0" w:line="240" w:lineRule="auto"/>
            </w:pPr>
            <w:r>
              <w:t>Judge: Jamie Anderson</w:t>
            </w:r>
          </w:p>
        </w:tc>
      </w:tr>
    </w:tbl>
    <w:p>
      <w:pPr>
        <w:spacing w:after="0" w:before="0" w:line="240" w:lineRule="auto"/>
      </w:pPr>
    </w:p>
    <w:p>
      <w:pPr>
        <w:spacing w:after="0" w:before="0" w:line="240" w:lineRule="auto"/>
        <w:jc w:val="center"/>
      </w:pPr>
      <w:r>
        <w:rPr>
          <w:b/>
          <w:i w:val="0"/>
        </w:rPr>
        <w:t>PLAINTIFFS’ INITIAL DISCLOSURES</w:t>
      </w:r>
    </w:p>
    <w:p>
      <w:pPr>
        <w:spacing w:after="120" w:before="0" w:line="240" w:lineRule="auto"/>
        <w:jc w:val="center"/>
      </w:pPr>
      <w:r>
        <w:rPr>
          <w:b w:val="0"/>
          <w:i w:val="0"/>
        </w:rPr>
        <w:t>(Minn. R. Civ. P. 26.01(a))</w:t>
      </w:r>
    </w:p>
    <w:p>
      <w:pPr>
        <w:spacing w:after="160" w:before="0" w:line="240" w:lineRule="auto"/>
      </w:pPr>
      <w:r>
        <w:rPr>
          <w:b w:val="0"/>
          <w:i w:val="0"/>
        </w:rPr>
        <w:t>Plaintiffs Yibiao Lu and Jie Hu, appearing pro se, make the following initial disclosures under Minn. R. Civ. P. 26.01(a). These disclosures are based on the information reasonably available to Plaintiffs at this time. Discovery and Plaintiffs’ investigation are continuing, and Plaintiffs reserve the right to supplement or amend these disclosures under Minn. R. Civ. P. 26.05.</w:t>
      </w:r>
    </w:p>
    <w:p>
      <w:pPr>
        <w:spacing w:after="80" w:before="0" w:line="240" w:lineRule="auto"/>
      </w:pPr>
      <w:r>
        <w:rPr>
          <w:b/>
          <w:i w:val="0"/>
        </w:rPr>
        <w:t>A.  Individuals likely to have discoverable information — Rule 26.01(a)(1)(A)</w:t>
      </w:r>
    </w:p>
    <w:p>
      <w:pPr>
        <w:spacing w:after="120" w:before="0" w:line="240" w:lineRule="auto"/>
      </w:pPr>
      <w:r>
        <w:rPr>
          <w:b w:val="0"/>
          <w:i w:val="0"/>
        </w:rPr>
        <w:t>The following individuals are likely to have discoverable information that Plaintiffs may use to support their claims, together with the subjects of that information. Except where a contact address is stated, individuals may be contacted through Plaintiffs; individuals affiliated with Defendant may be contacted through Defendant’s counsel.</w:t>
      </w:r>
    </w:p>
    <w:tbl>
      <w:tblPr>
        <w:tblStyle w:val="TableGrid"/>
        <w:tblW w:type="auto" w:w="0"/>
        <w:jc w:val="center"/>
        <w:tblLook w:firstColumn="1" w:firstRow="1" w:lastColumn="0" w:lastRow="0" w:noHBand="0" w:noVBand="1" w:val="04A0"/>
      </w:tblPr>
      <w:tblGrid>
        <w:gridCol w:w="4680"/>
        <w:gridCol w:w="4680"/>
      </w:tblGrid>
      <w:tr>
        <w:tc>
          <w:tcPr>
            <w:tcW w:type="dxa" w:w="3400"/>
          </w:tcPr>
          <w:p>
            <w:pPr>
              <w:spacing w:after="0" w:before="0" w:line="240" w:lineRule="auto"/>
            </w:pPr>
            <w:r>
              <w:rPr>
                <w:b/>
              </w:rPr>
              <w:t>Individual</w:t>
            </w:r>
          </w:p>
        </w:tc>
        <w:tc>
          <w:tcPr>
            <w:tcW w:type="dxa" w:w="5960"/>
          </w:tcPr>
          <w:p>
            <w:pPr>
              <w:spacing w:after="0" w:before="0" w:line="240" w:lineRule="auto"/>
            </w:pPr>
            <w:r>
              <w:rPr>
                <w:b/>
              </w:rPr>
              <w:t>Subjects of discoverable information</w:t>
            </w:r>
          </w:p>
        </w:tc>
      </w:tr>
      <w:tr>
        <w:tc>
          <w:tcPr>
            <w:tcW w:type="dxa" w:w="3400"/>
          </w:tcPr>
          <w:p>
            <w:pPr>
              <w:spacing w:after="0" w:before="0" w:line="240" w:lineRule="auto"/>
            </w:pPr>
            <w:r>
              <w:t>Yibiao Lu and Jie Hu (Plaintiffs), 17756 George Moran Dr., Eden Prairie, MN 55347</w:t>
            </w:r>
          </w:p>
        </w:tc>
        <w:tc>
          <w:tcPr>
            <w:tcW w:type="dxa" w:w="5960"/>
          </w:tcPr>
          <w:p>
            <w:pPr>
              <w:spacing w:after="0" w:before="0" w:line="240" w:lineRule="auto"/>
            </w:pPr>
            <w:r>
              <w:t>The loss and the condition of the Property; the claim, inspections, and appraisal process; communications with Farmers and its agents; and Plaintiffs’ damages.</w:t>
            </w:r>
          </w:p>
        </w:tc>
      </w:tr>
      <w:tr>
        <w:tc>
          <w:tcPr>
            <w:tcW w:type="dxa" w:w="3400"/>
          </w:tcPr>
          <w:p>
            <w:pPr>
              <w:spacing w:after="0" w:before="0" w:line="240" w:lineRule="auto"/>
            </w:pPr>
            <w:r>
              <w:t>Mary, Legacy Contracting</w:t>
            </w:r>
          </w:p>
        </w:tc>
        <w:tc>
          <w:tcPr>
            <w:tcW w:type="dxa" w:w="5960"/>
          </w:tcPr>
          <w:p>
            <w:pPr>
              <w:spacing w:after="0" w:before="0" w:line="240" w:lineRule="auto"/>
            </w:pPr>
            <w:r>
              <w:t>The August 9, 2024 contact with Plaintiffs and the discovery that recent storms had caused window leaks and damage.</w:t>
            </w:r>
          </w:p>
        </w:tc>
      </w:tr>
      <w:tr>
        <w:tc>
          <w:tcPr>
            <w:tcW w:type="dxa" w:w="3400"/>
          </w:tcPr>
          <w:p>
            <w:pPr>
              <w:spacing w:after="0" w:before="0" w:line="240" w:lineRule="auto"/>
            </w:pPr>
            <w:r>
              <w:t>Jack, Legacy Contracting</w:t>
            </w:r>
          </w:p>
        </w:tc>
        <w:tc>
          <w:tcPr>
            <w:tcW w:type="dxa" w:w="5960"/>
          </w:tcPr>
          <w:p>
            <w:pPr>
              <w:spacing w:after="0" w:before="0" w:line="240" w:lineRule="auto"/>
            </w:pPr>
            <w:r>
              <w:t>The August 13, 2024 visit and the first independent observation of dents on the windows of the Property.</w:t>
            </w:r>
          </w:p>
        </w:tc>
      </w:tr>
      <w:tr>
        <w:tc>
          <w:tcPr>
            <w:tcW w:type="dxa" w:w="3400"/>
          </w:tcPr>
          <w:p>
            <w:pPr>
              <w:spacing w:after="0" w:before="0" w:line="240" w:lineRule="auto"/>
            </w:pPr>
            <w:r>
              <w:t>Pat, Legacy Contracting</w:t>
            </w:r>
          </w:p>
        </w:tc>
        <w:tc>
          <w:tcPr>
            <w:tcW w:type="dxa" w:w="5960"/>
          </w:tcPr>
          <w:p>
            <w:pPr>
              <w:spacing w:after="0" w:before="0" w:line="240" w:lineRule="auto"/>
            </w:pPr>
            <w:r>
              <w:t>Assistance with Plaintiffs’ administrative complaints.</w:t>
            </w:r>
          </w:p>
        </w:tc>
      </w:tr>
      <w:tr>
        <w:tc>
          <w:tcPr>
            <w:tcW w:type="dxa" w:w="3400"/>
          </w:tcPr>
          <w:p>
            <w:pPr>
              <w:spacing w:after="0" w:before="0" w:line="240" w:lineRule="auto"/>
            </w:pPr>
            <w:r>
              <w:t>Zach Sexe, Pure Construction</w:t>
            </w:r>
          </w:p>
        </w:tc>
        <w:tc>
          <w:tcPr>
            <w:tcW w:type="dxa" w:w="5960"/>
          </w:tcPr>
          <w:p>
            <w:pPr>
              <w:spacing w:after="0" w:before="0" w:line="240" w:lineRule="auto"/>
            </w:pPr>
            <w:r>
              <w:t>The window-replacement scope and estimate; the discontinuation of the original Semco windows and comparable current-production equivalents.</w:t>
            </w:r>
          </w:p>
        </w:tc>
      </w:tr>
      <w:tr>
        <w:tc>
          <w:tcPr>
            <w:tcW w:type="dxa" w:w="3400"/>
          </w:tcPr>
          <w:p>
            <w:pPr>
              <w:spacing w:after="0" w:before="0" w:line="240" w:lineRule="auto"/>
            </w:pPr>
            <w:r>
              <w:t>Dan Traxler, Pure Construction</w:t>
            </w:r>
          </w:p>
        </w:tc>
        <w:tc>
          <w:tcPr>
            <w:tcW w:type="dxa" w:w="5960"/>
          </w:tcPr>
          <w:p>
            <w:pPr>
              <w:spacing w:after="0" w:before="0" w:line="240" w:lineRule="auto"/>
            </w:pPr>
            <w:r>
              <w:t>The window-replacement scope and estimate.</w:t>
            </w:r>
          </w:p>
        </w:tc>
      </w:tr>
      <w:tr>
        <w:tc>
          <w:tcPr>
            <w:tcW w:type="dxa" w:w="3400"/>
          </w:tcPr>
          <w:p>
            <w:pPr>
              <w:spacing w:after="0" w:before="0" w:line="240" w:lineRule="auto"/>
            </w:pPr>
            <w:r>
              <w:t>John Foster, Plaintiffs’ appraiser</w:t>
            </w:r>
          </w:p>
        </w:tc>
        <w:tc>
          <w:tcPr>
            <w:tcW w:type="dxa" w:w="5960"/>
          </w:tcPr>
          <w:p>
            <w:pPr>
              <w:spacing w:after="0" w:before="0" w:line="240" w:lineRule="auto"/>
            </w:pPr>
            <w:r>
              <w:t>The appraisal process and the panel’s hail-causation finding.</w:t>
            </w:r>
          </w:p>
        </w:tc>
      </w:tr>
      <w:tr>
        <w:tc>
          <w:tcPr>
            <w:tcW w:type="dxa" w:w="3400"/>
          </w:tcPr>
          <w:p>
            <w:pPr>
              <w:spacing w:after="0" w:before="0" w:line="240" w:lineRule="auto"/>
            </w:pPr>
            <w:r>
              <w:t>Katherine Toomajian, Minnesota Department of Commerce</w:t>
            </w:r>
          </w:p>
        </w:tc>
        <w:tc>
          <w:tcPr>
            <w:tcW w:type="dxa" w:w="5960"/>
          </w:tcPr>
          <w:p>
            <w:pPr>
              <w:spacing w:after="0" w:before="0" w:line="240" w:lineRule="auto"/>
            </w:pPr>
            <w:r>
              <w:t>Plaintiffs’ regulatory complaint (ID 93547) and Farmers’ handling of it.</w:t>
            </w:r>
          </w:p>
        </w:tc>
      </w:tr>
      <w:tr>
        <w:tc>
          <w:tcPr>
            <w:tcW w:type="dxa" w:w="3400"/>
          </w:tcPr>
          <w:p>
            <w:pPr>
              <w:spacing w:after="0" w:before="0" w:line="240" w:lineRule="auto"/>
            </w:pPr>
            <w:r>
              <w:t>Neighboring homeowners in the immediate Eden Prairie neighborhood (approximately 14, from Plaintiffs’ canvass) — identities and addresses to be supplemented</w:t>
            </w:r>
          </w:p>
        </w:tc>
        <w:tc>
          <w:tcPr>
            <w:tcW w:type="dxa" w:w="5960"/>
          </w:tcPr>
          <w:p>
            <w:pPr>
              <w:spacing w:after="0" w:before="0" w:line="240" w:lineRule="auto"/>
            </w:pPr>
            <w:r>
              <w:t>Hail-driven exterior repairs in the neighborhood after 2020.</w:t>
            </w:r>
          </w:p>
        </w:tc>
      </w:tr>
      <w:tr>
        <w:tc>
          <w:tcPr>
            <w:tcW w:type="dxa" w:w="3400"/>
          </w:tcPr>
          <w:p>
            <w:pPr>
              <w:spacing w:after="0" w:before="0" w:line="240" w:lineRule="auto"/>
            </w:pPr>
            <w:r>
              <w:t>Records custodian, City of Eden Prairie building/permit office</w:t>
            </w:r>
          </w:p>
        </w:tc>
        <w:tc>
          <w:tcPr>
            <w:tcW w:type="dxa" w:w="5960"/>
          </w:tcPr>
          <w:p>
            <w:pPr>
              <w:spacing w:after="0" w:before="0" w:line="240" w:lineRule="auto"/>
            </w:pPr>
            <w:r>
              <w:t>Building-permit records for the Property and the neighborhood.</w:t>
            </w:r>
          </w:p>
        </w:tc>
      </w:tr>
      <w:tr>
        <w:tc>
          <w:tcPr>
            <w:tcW w:type="dxa" w:w="3400"/>
          </w:tcPr>
          <w:p>
            <w:pPr>
              <w:spacing w:after="0" w:before="0" w:line="240" w:lineRule="auto"/>
            </w:pPr>
            <w:r>
              <w:t>Records custodian, National Weather Service / NOAA</w:t>
            </w:r>
          </w:p>
        </w:tc>
        <w:tc>
          <w:tcPr>
            <w:tcW w:type="dxa" w:w="5960"/>
          </w:tcPr>
          <w:p>
            <w:pPr>
              <w:spacing w:after="0" w:before="0" w:line="240" w:lineRule="auto"/>
            </w:pPr>
            <w:r>
              <w:t>Weather records for the July 13–14, 2024 storm.</w:t>
            </w:r>
          </w:p>
        </w:tc>
      </w:tr>
      <w:tr>
        <w:tc>
          <w:tcPr>
            <w:tcW w:type="dxa" w:w="3400"/>
          </w:tcPr>
          <w:p>
            <w:pPr>
              <w:spacing w:after="0" w:before="0" w:line="240" w:lineRule="auto"/>
            </w:pPr>
            <w:r>
              <w:t>Plaintiffs’ retained forensic engineering and/or meteorology expert(s) — to be identified and disclosed under Rule 26.01(b) per the scheduling order</w:t>
            </w:r>
          </w:p>
        </w:tc>
        <w:tc>
          <w:tcPr>
            <w:tcW w:type="dxa" w:w="5960"/>
          </w:tcPr>
          <w:p>
            <w:pPr>
              <w:spacing w:after="0" w:before="0" w:line="240" w:lineRule="auto"/>
            </w:pPr>
            <w:r>
              <w:t>Hail causation, the scope of damage, and rebuttal of the Prieve Engineering report.</w:t>
            </w:r>
          </w:p>
        </w:tc>
      </w:tr>
      <w:tr>
        <w:tc>
          <w:tcPr>
            <w:tcW w:type="dxa" w:w="3400"/>
          </w:tcPr>
          <w:p>
            <w:pPr>
              <w:spacing w:after="0" w:before="0" w:line="240" w:lineRule="auto"/>
            </w:pPr>
            <w:r>
              <w:t>(Adverse) Nicholas Brau, Bradlee Monson, Christian Dudley, and Peter Pietila (Farmers); Nathan Prieve (Prieve Engineering)</w:t>
            </w:r>
          </w:p>
        </w:tc>
        <w:tc>
          <w:tcPr>
            <w:tcW w:type="dxa" w:w="5960"/>
          </w:tcPr>
          <w:p>
            <w:pPr>
              <w:spacing w:after="0" w:before="0" w:line="240" w:lineRule="auto"/>
            </w:pPr>
            <w:r>
              <w:t>The claim handling, the inspections, the denials, and the engineering report. Plaintiffs may call these individuals as adverse witnesses.</w:t>
            </w:r>
          </w:p>
        </w:tc>
      </w:tr>
    </w:tbl>
    <w:p>
      <w:pPr>
        <w:spacing w:after="0" w:before="40" w:line="240" w:lineRule="auto"/>
      </w:pPr>
    </w:p>
    <w:p>
      <w:pPr>
        <w:spacing w:after="80" w:before="0" w:line="240" w:lineRule="auto"/>
      </w:pPr>
      <w:r>
        <w:rPr>
          <w:b/>
          <w:i w:val="0"/>
        </w:rPr>
        <w:t>B.  Documents, electronically stored information, and tangible things — Rule 26.01(a)(1)(B)</w:t>
      </w:r>
    </w:p>
    <w:p>
      <w:pPr>
        <w:spacing w:after="120" w:before="0" w:line="240" w:lineRule="auto"/>
      </w:pPr>
      <w:r>
        <w:rPr>
          <w:b w:val="0"/>
          <w:i w:val="0"/>
        </w:rPr>
        <w:t>Plaintiffs describe by category the documents, electronically stored information, and tangible things in their possession, custody, or control that they may use to support their claims. All are located at Plaintiffs’ residence and in electronic form; copies or inspection are available upon reasonable request.</w:t>
      </w:r>
    </w:p>
    <w:p>
      <w:pPr>
        <w:spacing w:after="120" w:before="0" w:line="240" w:lineRule="auto"/>
        <w:ind w:left="720" w:hanging="360"/>
      </w:pPr>
      <w:r>
        <w:rPr>
          <w:b/>
        </w:rPr>
        <w:t xml:space="preserve">1.  </w:t>
      </w:r>
      <w:r>
        <w:t>The homeowner’s Policy 98055-49-65, including the Declarations and all endorsements.</w:t>
      </w:r>
    </w:p>
    <w:p>
      <w:pPr>
        <w:spacing w:after="120" w:before="0" w:line="240" w:lineRule="auto"/>
        <w:ind w:left="720" w:hanging="360"/>
      </w:pPr>
      <w:r>
        <w:rPr>
          <w:b/>
        </w:rPr>
        <w:t xml:space="preserve">2.  </w:t>
      </w:r>
      <w:r>
        <w:t>The Farmers claim-file correspondence for claim 7007986837-1-1, including the September 3, 2024 and November 4, 2024 denial letters and related communications.</w:t>
      </w:r>
    </w:p>
    <w:p>
      <w:pPr>
        <w:spacing w:after="120" w:before="0" w:line="240" w:lineRule="auto"/>
        <w:ind w:left="720" w:hanging="360"/>
      </w:pPr>
      <w:r>
        <w:rPr>
          <w:b/>
        </w:rPr>
        <w:t xml:space="preserve">3.  </w:t>
      </w:r>
      <w:r>
        <w:t>The Prieve Engineering report (File #241008) and its Photo Appendix A.</w:t>
      </w:r>
    </w:p>
    <w:p>
      <w:pPr>
        <w:spacing w:after="120" w:before="0" w:line="240" w:lineRule="auto"/>
        <w:ind w:left="720" w:hanging="360"/>
      </w:pPr>
      <w:r>
        <w:rPr>
          <w:b/>
        </w:rPr>
        <w:t xml:space="preserve">4.  </w:t>
      </w:r>
      <w:r>
        <w:t>The September 12, 2025 appraisal award, the August 3, 2025 appraisal demand, and Plaintiffs’ sworn statement in proof of loss.</w:t>
      </w:r>
    </w:p>
    <w:p>
      <w:pPr>
        <w:spacing w:after="120" w:before="0" w:line="240" w:lineRule="auto"/>
        <w:ind w:left="720" w:hanging="360"/>
      </w:pPr>
      <w:r>
        <w:rPr>
          <w:b/>
        </w:rPr>
        <w:t xml:space="preserve">5.  </w:t>
      </w:r>
      <w:r>
        <w:t>Weather documentation for July 13–14, 2024, including National Weather Service / NOAA materials, Eden Prairie ASOS data, stormersite data, and Interactive Hail Maps data.</w:t>
      </w:r>
    </w:p>
    <w:p>
      <w:pPr>
        <w:spacing w:after="120" w:before="0" w:line="240" w:lineRule="auto"/>
        <w:ind w:left="720" w:hanging="360"/>
      </w:pPr>
      <w:r>
        <w:rPr>
          <w:b/>
        </w:rPr>
        <w:t xml:space="preserve">6.  </w:t>
      </w:r>
      <w:r>
        <w:t>Photographs of the damage to the Property.</w:t>
      </w:r>
    </w:p>
    <w:p>
      <w:pPr>
        <w:spacing w:after="120" w:before="0" w:line="240" w:lineRule="auto"/>
        <w:ind w:left="720" w:hanging="360"/>
      </w:pPr>
      <w:r>
        <w:rPr>
          <w:b/>
        </w:rPr>
        <w:t xml:space="preserve">7.  </w:t>
      </w:r>
      <w:r>
        <w:t>The 2020 claim-file materials (claim 3013539499-1), including the Xactimate estimate, building-loss worksheet, and settlement notice, to the extent in Plaintiffs’ possession.</w:t>
      </w:r>
    </w:p>
    <w:p>
      <w:pPr>
        <w:spacing w:after="120" w:before="0" w:line="240" w:lineRule="auto"/>
        <w:ind w:left="720" w:hanging="360"/>
      </w:pPr>
      <w:r>
        <w:rPr>
          <w:b/>
        </w:rPr>
        <w:t xml:space="preserve">8.  </w:t>
      </w:r>
      <w:r>
        <w:t>Contractor estimates, including the Pure Construction / Pella Reserve window-replacement estimate (Quote #19678463) and siding estimates.</w:t>
      </w:r>
    </w:p>
    <w:p>
      <w:pPr>
        <w:spacing w:after="120" w:before="0" w:line="240" w:lineRule="auto"/>
        <w:ind w:left="720" w:hanging="360"/>
      </w:pPr>
      <w:r>
        <w:rPr>
          <w:b/>
        </w:rPr>
        <w:t xml:space="preserve">9.  </w:t>
      </w:r>
      <w:r>
        <w:t>Plaintiffs’ canvass of neighboring homeowners.</w:t>
      </w:r>
    </w:p>
    <w:p>
      <w:pPr>
        <w:spacing w:after="120" w:before="0" w:line="240" w:lineRule="auto"/>
        <w:ind w:left="720" w:hanging="360"/>
      </w:pPr>
      <w:r>
        <w:rPr>
          <w:b/>
        </w:rPr>
        <w:t xml:space="preserve">10.  </w:t>
      </w:r>
      <w:r>
        <w:t>City of Eden Prairie building-permit records obtained by Plaintiffs.</w:t>
      </w:r>
    </w:p>
    <w:p>
      <w:pPr>
        <w:spacing w:after="120" w:before="0" w:line="240" w:lineRule="auto"/>
        <w:ind w:left="720" w:hanging="360"/>
      </w:pPr>
      <w:r>
        <w:rPr>
          <w:b/>
        </w:rPr>
        <w:t xml:space="preserve">11.  </w:t>
      </w:r>
      <w:r>
        <w:t>Correspondence with Farmers’ agent (Peter Pietila), the Minnesota Department of Commerce (Complaint ID 93547), and the Minnesota Attorney General’s Office.</w:t>
      </w:r>
    </w:p>
    <w:p>
      <w:pPr>
        <w:spacing w:after="120" w:before="0" w:line="240" w:lineRule="auto"/>
        <w:ind w:left="720" w:hanging="360"/>
      </w:pPr>
      <w:r>
        <w:rPr>
          <w:b/>
        </w:rPr>
        <w:t xml:space="preserve">12.  </w:t>
      </w:r>
      <w:r>
        <w:t>Plaintiffs’ communication logs.</w:t>
      </w:r>
    </w:p>
    <w:p>
      <w:pPr>
        <w:spacing w:after="0" w:before="40" w:line="240" w:lineRule="auto"/>
      </w:pPr>
    </w:p>
    <w:p>
      <w:pPr>
        <w:spacing w:after="80" w:before="0" w:line="240" w:lineRule="auto"/>
      </w:pPr>
      <w:r>
        <w:rPr>
          <w:b/>
          <w:i w:val="0"/>
        </w:rPr>
        <w:t>C.  Computation of damages — Rule 26.01(a)(1)(C)</w:t>
      </w:r>
    </w:p>
    <w:p>
      <w:pPr>
        <w:spacing w:after="120" w:before="0" w:line="240" w:lineRule="auto"/>
      </w:pPr>
      <w:r>
        <w:rPr>
          <w:b w:val="0"/>
          <w:i w:val="0"/>
        </w:rPr>
        <w:t>Plaintiffs compute their damages by category as set forth below. The computation is based on information reasonably available at this time and will be supplemented after expert valuation and completion of discovery. The supporting documents are among those identified in Section B and are available for inspection and copying. The Policy provides replacement-cost coverage; actual-cash-value and depreciation figures remain to be determined.</w:t>
      </w:r>
    </w:p>
    <w:tbl>
      <w:tblPr>
        <w:tblStyle w:val="TableGrid"/>
        <w:tblW w:type="auto" w:w="0"/>
        <w:jc w:val="center"/>
        <w:tblLook w:firstColumn="1" w:firstRow="1" w:lastColumn="0" w:lastRow="0" w:noHBand="0" w:noVBand="1" w:val="04A0"/>
      </w:tblPr>
      <w:tblGrid>
        <w:gridCol w:w="3120"/>
        <w:gridCol w:w="3120"/>
        <w:gridCol w:w="3120"/>
      </w:tblGrid>
      <w:tr>
        <w:tc>
          <w:tcPr>
            <w:tcW w:type="dxa" w:w="3300"/>
          </w:tcPr>
          <w:p>
            <w:pPr>
              <w:spacing w:after="0" w:before="0" w:line="240" w:lineRule="auto"/>
            </w:pPr>
            <w:r>
              <w:rPr>
                <w:b/>
              </w:rPr>
              <w:t>Category of damages</w:t>
            </w:r>
          </w:p>
        </w:tc>
        <w:tc>
          <w:tcPr>
            <w:tcW w:type="dxa" w:w="2000"/>
          </w:tcPr>
          <w:p>
            <w:pPr>
              <w:spacing w:after="0" w:before="0" w:line="240" w:lineRule="auto"/>
            </w:pPr>
            <w:r>
              <w:rPr>
                <w:b/>
              </w:rPr>
              <w:t>Amount</w:t>
            </w:r>
          </w:p>
        </w:tc>
        <w:tc>
          <w:tcPr>
            <w:tcW w:type="dxa" w:w="4060"/>
          </w:tcPr>
          <w:p>
            <w:pPr>
              <w:spacing w:after="0" w:before="0" w:line="240" w:lineRule="auto"/>
            </w:pPr>
            <w:r>
              <w:rPr>
                <w:b/>
              </w:rPr>
              <w:t>Basis</w:t>
            </w:r>
          </w:p>
        </w:tc>
      </w:tr>
      <w:tr>
        <w:tc>
          <w:tcPr>
            <w:tcW w:type="dxa" w:w="3300"/>
          </w:tcPr>
          <w:p>
            <w:pPr>
              <w:spacing w:after="0" w:before="0" w:line="240" w:lineRule="auto"/>
            </w:pPr>
            <w:r>
              <w:t>Window replacement — full-frame, with comparable current-production equivalents for the discontinued Semco windows</w:t>
            </w:r>
          </w:p>
        </w:tc>
        <w:tc>
          <w:tcPr>
            <w:tcW w:type="dxa" w:w="2000"/>
          </w:tcPr>
          <w:p>
            <w:pPr>
              <w:spacing w:after="0" w:before="0" w:line="240" w:lineRule="auto"/>
            </w:pPr>
            <w:r>
              <w:t>$303,820.78 (RCV)</w:t>
            </w:r>
          </w:p>
        </w:tc>
        <w:tc>
          <w:tcPr>
            <w:tcW w:type="dxa" w:w="4060"/>
          </w:tcPr>
          <w:p>
            <w:pPr>
              <w:spacing w:after="0" w:before="0" w:line="240" w:lineRule="auto"/>
            </w:pPr>
            <w:r>
              <w:t>Pure Construction / Pella Reserve estimate, Quote #19678463 (June 26, 2025), including windows, interior casing/trim, installation labor, on-site lift, and 10% overhead and profit.</w:t>
            </w:r>
          </w:p>
        </w:tc>
      </w:tr>
      <w:tr>
        <w:tc>
          <w:tcPr>
            <w:tcW w:type="dxa" w:w="3300"/>
          </w:tcPr>
          <w:p>
            <w:pPr>
              <w:spacing w:after="0" w:before="0" w:line="240" w:lineRule="auto"/>
            </w:pPr>
            <w:r>
              <w:t>Siding — repaint and replace-and-remove</w:t>
            </w:r>
          </w:p>
        </w:tc>
        <w:tc>
          <w:tcPr>
            <w:tcW w:type="dxa" w:w="2000"/>
          </w:tcPr>
          <w:p>
            <w:pPr>
              <w:spacing w:after="0" w:before="0" w:line="240" w:lineRule="auto"/>
            </w:pPr>
            <w:r>
              <w:t>To be computed (contractor estimate; supplement)</w:t>
            </w:r>
          </w:p>
        </w:tc>
        <w:tc>
          <w:tcPr>
            <w:tcW w:type="dxa" w:w="4060"/>
          </w:tcPr>
          <w:p>
            <w:pPr>
              <w:spacing w:after="0" w:before="0" w:line="240" w:lineRule="auto"/>
            </w:pPr>
            <w:r>
              <w:t>Submitted in the August 3, 2025 appraisal demand; the appraisal award listed these items at $0.</w:t>
            </w:r>
          </w:p>
        </w:tc>
      </w:tr>
      <w:tr>
        <w:tc>
          <w:tcPr>
            <w:tcW w:type="dxa" w:w="3300"/>
          </w:tcPr>
          <w:p>
            <w:pPr>
              <w:spacing w:after="0" w:before="0" w:line="240" w:lineRule="auto"/>
            </w:pPr>
            <w:r>
              <w:t>Consequential water-intrusion and mold remediation</w:t>
            </w:r>
          </w:p>
        </w:tc>
        <w:tc>
          <w:tcPr>
            <w:tcW w:type="dxa" w:w="2000"/>
          </w:tcPr>
          <w:p>
            <w:pPr>
              <w:spacing w:after="0" w:before="0" w:line="240" w:lineRule="auto"/>
            </w:pPr>
            <w:r>
              <w:t>To be computed (supplement)</w:t>
            </w:r>
          </w:p>
        </w:tc>
        <w:tc>
          <w:tcPr>
            <w:tcW w:type="dxa" w:w="4060"/>
          </w:tcPr>
          <w:p>
            <w:pPr>
              <w:spacing w:after="0" w:before="0" w:line="240" w:lineRule="auto"/>
            </w:pPr>
            <w:r>
              <w:t>Ongoing window leaks, most recently reported October 28, 2025.</w:t>
            </w:r>
          </w:p>
        </w:tc>
      </w:tr>
      <w:tr>
        <w:tc>
          <w:tcPr>
            <w:tcW w:type="dxa" w:w="3300"/>
          </w:tcPr>
          <w:p>
            <w:pPr>
              <w:spacing w:after="0" w:before="0" w:line="240" w:lineRule="auto"/>
            </w:pPr>
            <w:r>
              <w:t>Additional incidental costs (window coverings/blinds; exterior repaint)</w:t>
            </w:r>
          </w:p>
        </w:tc>
        <w:tc>
          <w:tcPr>
            <w:tcW w:type="dxa" w:w="2000"/>
          </w:tcPr>
          <w:p>
            <w:pPr>
              <w:spacing w:after="0" w:before="0" w:line="240" w:lineRule="auto"/>
            </w:pPr>
            <w:r>
              <w:t>To be computed (supplement)</w:t>
            </w:r>
          </w:p>
        </w:tc>
        <w:tc>
          <w:tcPr>
            <w:tcW w:type="dxa" w:w="4060"/>
          </w:tcPr>
          <w:p>
            <w:pPr>
              <w:spacing w:after="0" w:before="0" w:line="240" w:lineRule="auto"/>
            </w:pPr>
            <w:r>
              <w:t>Costs necessary to complete the window replacement.</w:t>
            </w:r>
          </w:p>
        </w:tc>
      </w:tr>
      <w:tr>
        <w:tc>
          <w:tcPr>
            <w:tcW w:type="dxa" w:w="3300"/>
          </w:tcPr>
          <w:p>
            <w:pPr>
              <w:spacing w:after="0" w:before="0" w:line="240" w:lineRule="auto"/>
            </w:pPr>
            <w:r>
              <w:t>Statutory and other relief — prejudgment and postjudgment interest; costs of investigation; attorney fees and taxable costs under Minn. Stat. §§ 325F.70 / 8.31 and 604.18</w:t>
            </w:r>
          </w:p>
        </w:tc>
        <w:tc>
          <w:tcPr>
            <w:tcW w:type="dxa" w:w="2000"/>
          </w:tcPr>
          <w:p>
            <w:pPr>
              <w:spacing w:after="0" w:before="0" w:line="240" w:lineRule="auto"/>
            </w:pPr>
            <w:r>
              <w:t>To be determined</w:t>
            </w:r>
          </w:p>
        </w:tc>
        <w:tc>
          <w:tcPr>
            <w:tcW w:type="dxa" w:w="4060"/>
          </w:tcPr>
          <w:p>
            <w:pPr>
              <w:spacing w:after="0" w:before="0" w:line="240" w:lineRule="auto"/>
            </w:pPr>
            <w:r>
              <w:t>As allowed by statute.</w:t>
            </w:r>
          </w:p>
        </w:tc>
      </w:tr>
    </w:tbl>
    <w:p>
      <w:pPr>
        <w:spacing w:after="160" w:before="0" w:line="240" w:lineRule="auto"/>
      </w:pPr>
      <w:r>
        <w:rPr>
          <w:b w:val="0"/>
          <w:i w:val="0"/>
        </w:rPr>
        <w:t>For reference, Plaintiffs’ sworn statement in proof of loss states a total claimed loss of $310,000 against Coverage A of $886,000, subject to the $17,720 windstorm/hail deductible.</w:t>
      </w:r>
    </w:p>
    <w:p>
      <w:pPr>
        <w:spacing w:after="80" w:before="0" w:line="240" w:lineRule="auto"/>
      </w:pPr>
      <w:r>
        <w:rPr>
          <w:b/>
          <w:i w:val="0"/>
        </w:rPr>
        <w:t>D.  Insurance agreements — Rule 26.01(a)(1)(D)</w:t>
      </w:r>
    </w:p>
    <w:p>
      <w:pPr>
        <w:spacing w:after="160" w:before="0" w:line="240" w:lineRule="auto"/>
      </w:pPr>
      <w:r>
        <w:rPr>
          <w:b w:val="0"/>
          <w:i w:val="0"/>
        </w:rPr>
        <w:t>Not applicable to Plaintiffs. Plaintiffs are not aware of any insurance agreement under which an insurer may be liable to satisfy all or part of a possible judgment against Plaintiffs or to indemnify or reimburse for payments made to satisfy such a judgment. The Farmers policy that is the subject of this action is identified in Section B above.</w:t>
      </w:r>
    </w:p>
    <w:p>
      <w:pPr>
        <w:spacing w:after="40" w:before="0" w:line="240" w:lineRule="auto"/>
      </w:pPr>
      <w:r>
        <w:rPr>
          <w:b/>
          <w:i w:val="0"/>
        </w:rPr>
        <w:t>Reservation.</w:t>
      </w:r>
    </w:p>
    <w:p>
      <w:pPr>
        <w:spacing w:after="200" w:before="0" w:line="240" w:lineRule="auto"/>
      </w:pPr>
      <w:r>
        <w:rPr>
          <w:b w:val="0"/>
          <w:i w:val="0"/>
        </w:rPr>
        <w:t>These disclosures are made on the basis of information reasonably available to Plaintiffs at this time. Plaintiffs’ investigation and discovery are ongoing, and Plaintiffs reserve the right to supplement or amend these disclosures, including the identification of expert witnesses under Rule 26.01(b) at the time set by the Court’s scheduling order.</w:t>
      </w:r>
    </w:p>
    <w:p>
      <w:pPr>
        <w:spacing w:after="200" w:before="0" w:line="240" w:lineRule="auto"/>
      </w:pPr>
      <w:r>
        <w:rPr>
          <w:b w:val="0"/>
          <w:i w:val="0"/>
        </w:rPr>
        <w:t>Pursuant to Minn. R. Civ. P. 26.07, the undersigned certify that, to the best of their knowledge, information, and belief formed after a reasonable inquiry, these disclosures are complete and correct as of the time made.</w:t>
      </w:r>
    </w:p>
    <w:p>
      <w:pPr>
        <w:spacing w:after="0" w:before="0" w:line="240" w:lineRule="auto"/>
      </w:pPr>
      <w:r>
        <w:rPr>
          <w:b w:val="0"/>
          <w:i w:val="0"/>
        </w:rPr>
        <w:t>Dated: ______________, 2026.</w:t>
      </w:r>
    </w:p>
    <w:p>
      <w:pPr>
        <w:spacing w:after="0" w:before="0" w:line="240" w:lineRule="auto"/>
      </w:pPr>
    </w:p>
    <w:p>
      <w:pPr>
        <w:spacing w:after="0" w:before="0" w:line="240" w:lineRule="auto"/>
      </w:pPr>
      <w:r>
        <w:rPr>
          <w:b w:val="0"/>
          <w:i w:val="0"/>
        </w:rPr>
        <w:t>Respectfully submitted,</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 Eden Prairie, MN 55347</w:t>
      </w:r>
    </w:p>
    <w:p>
      <w:pPr>
        <w:spacing w:after="0" w:before="0" w:line="240" w:lineRule="auto"/>
      </w:pPr>
      <w:r>
        <w:rPr>
          <w:b w:val="0"/>
          <w:i w:val="0"/>
        </w:rPr>
        <w:t>Telephone: ______________   Email: ______________</w:t>
      </w:r>
    </w:p>
    <w:p>
      <w:pPr>
        <w:spacing w:after="0" w:before="120" w:line="240" w:lineRule="auto"/>
      </w:pPr>
    </w:p>
    <w:p>
      <w:pPr>
        <w:spacing w:after="0" w:before="0" w:line="240" w:lineRule="auto"/>
        <w:jc w:val="center"/>
      </w:pPr>
      <w:r>
        <w:rPr>
          <w:b/>
          <w:i w:val="0"/>
        </w:rPr>
        <w:t>CERTIFICATE OF SERVICE</w:t>
      </w:r>
    </w:p>
    <w:p>
      <w:pPr>
        <w:spacing w:after="160" w:before="0" w:line="240" w:lineRule="auto"/>
      </w:pPr>
      <w:r>
        <w:rPr>
          <w:b w:val="0"/>
          <w:i w:val="0"/>
        </w:rPr>
        <w:t>The undersigned certifies that on ______________, 2026, a true and correct copy of Plaintiffs’ Initial Disclosures was served upon Defendant, through its attorneys of record, by ______________ [e-service through the Minnesota eFS system / email / U.S. Mail], in accordance with Minn. R. Civ. P. 5. These disclosures are served, not filed, in accordance with Minn. R. Civ. P. 5.04.</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