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W w:type="dxa" w:w="9360"/>
      </w:tblPr>
      <w:tblGrid>
        <w:gridCol w:w="4900"/>
        <w:gridCol w:w="4460"/>
      </w:tblGrid>
      <w:tr>
        <w:tc>
          <w:tcPr>
            <w:tcW w:type="dxa" w:w="4900"/>
            <w:tcBorders>
              <w:top w:val="none" w:color="FFFFFF" w:sz="0"/>
              <w:left w:val="none" w:color="FFFFFF" w:sz="0"/>
              <w:bottom w:val="none" w:color="FFFFFF" w:sz="0"/>
              <w:right w:val="single" w:color="000000" w:sz="6"/>
            </w:tcBorders>
          </w:tcPr>
          <w:p>
            <w:pPr>
              <w:spacing w:after="0" w:before="0" w:line="240" w:lineRule="auto"/>
            </w:pPr>
            <w:r>
              <w:t>STATE OF MINNESOTA</w:t>
            </w:r>
          </w:p>
          <w:p>
            <w:pPr>
              <w:spacing w:after="0" w:before="0" w:line="240" w:lineRule="auto"/>
            </w:pPr>
            <w:r>
              <w:t>COUNTY OF HENNEPIN</w:t>
            </w:r>
          </w:p>
          <w:p>
            <w:pPr>
              <w:spacing w:after="0" w:before="0" w:line="240" w:lineRule="auto"/>
            </w:pPr>
          </w:p>
          <w:p>
            <w:pPr>
              <w:spacing w:after="0" w:before="0" w:line="240" w:lineRule="auto"/>
            </w:pPr>
            <w:r>
              <w:t>Yibiao Lu and Jie Hu,</w:t>
            </w:r>
          </w:p>
          <w:p>
            <w:pPr>
              <w:spacing w:after="0" w:before="0" w:line="240" w:lineRule="auto"/>
            </w:pPr>
            <w:r>
              <w:tab/>
              <w:tab/>
              <w:tab/>
              <w:t>Plaintiffs,</w:t>
            </w:r>
          </w:p>
          <w:p>
            <w:pPr>
              <w:spacing w:after="0" w:before="0" w:line="240" w:lineRule="auto"/>
            </w:pPr>
          </w:p>
          <w:p>
            <w:pPr>
              <w:spacing w:after="0" w:before="0" w:line="240" w:lineRule="auto"/>
            </w:pPr>
            <w:r>
              <w:t>vs.</w:t>
            </w:r>
          </w:p>
          <w:p>
            <w:pPr>
              <w:spacing w:after="0" w:before="0" w:line="240" w:lineRule="auto"/>
            </w:pPr>
          </w:p>
          <w:p>
            <w:pPr>
              <w:spacing w:after="0" w:before="0" w:line="240" w:lineRule="auto"/>
            </w:pPr>
            <w:r>
              <w:t>Fire Insurance Exchange, by and through its attorney-in-fact Fire Underwriters Association, doing business as Farmers Insurance,</w:t>
            </w:r>
          </w:p>
          <w:p>
            <w:pPr>
              <w:spacing w:after="0" w:before="0" w:line="240" w:lineRule="auto"/>
            </w:pPr>
          </w:p>
          <w:p>
            <w:pPr>
              <w:spacing w:after="0" w:before="0" w:line="240" w:lineRule="auto"/>
            </w:pPr>
            <w:r>
              <w:tab/>
              <w:tab/>
              <w:tab/>
              <w:t>Defendant.</w:t>
            </w:r>
          </w:p>
        </w:tc>
        <w:tc>
          <w:tcPr>
            <w:tcW w:type="dxa" w:w="4460"/>
          </w:tcPr>
          <w:p>
            <w:pPr>
              <w:spacing w:after="0" w:before="0" w:line="240" w:lineRule="auto"/>
            </w:pPr>
            <w:r>
              <w:t>DISTRICT COURT</w:t>
            </w:r>
          </w:p>
          <w:p>
            <w:pPr>
              <w:spacing w:after="0" w:before="0" w:line="240" w:lineRule="auto"/>
            </w:pPr>
            <w:r>
              <w:t>FOURTH JUDICIAL DISTRICT</w:t>
            </w:r>
          </w:p>
          <w:p>
            <w:pPr>
              <w:spacing w:after="0" w:before="0" w:line="240" w:lineRule="auto"/>
            </w:pPr>
          </w:p>
          <w:p>
            <w:pPr>
              <w:spacing w:after="0" w:before="0" w:line="240" w:lineRule="auto"/>
            </w:pPr>
            <w:r>
              <w:t>Case Type: Contract</w:t>
            </w:r>
          </w:p>
          <w:p>
            <w:pPr>
              <w:spacing w:after="0" w:before="0" w:line="240" w:lineRule="auto"/>
            </w:pPr>
          </w:p>
          <w:p>
            <w:pPr>
              <w:spacing w:after="0" w:before="0" w:line="240" w:lineRule="auto"/>
            </w:pPr>
            <w:r>
              <w:t>Court File No. 27-CV-26-11606</w:t>
            </w:r>
          </w:p>
          <w:p>
            <w:pPr>
              <w:spacing w:after="0" w:before="0" w:line="240" w:lineRule="auto"/>
            </w:pPr>
          </w:p>
          <w:p>
            <w:pPr>
              <w:spacing w:after="0" w:before="0" w:line="240" w:lineRule="auto"/>
            </w:pPr>
            <w:r>
              <w:t>Judge: Jamie Anderson</w:t>
            </w:r>
          </w:p>
        </w:tc>
      </w:tr>
    </w:tbl>
    <w:p>
      <w:pPr>
        <w:spacing w:after="0" w:before="0" w:line="240" w:lineRule="auto"/>
      </w:pPr>
    </w:p>
    <w:p>
      <w:pPr>
        <w:spacing w:after="0" w:before="0" w:line="240" w:lineRule="auto"/>
        <w:jc w:val="center"/>
      </w:pPr>
      <w:r>
        <w:rPr>
          <w:b/>
          <w:i w:val="0"/>
        </w:rPr>
        <w:t>SUBPOENA DUCES TECUM</w:t>
      </w:r>
    </w:p>
    <w:p>
      <w:pPr>
        <w:spacing w:after="120" w:before="0" w:line="240" w:lineRule="auto"/>
        <w:jc w:val="center"/>
      </w:pPr>
      <w:r>
        <w:rPr>
          <w:b w:val="0"/>
          <w:i w:val="0"/>
        </w:rPr>
        <w:t>(Production of Documents by a Non-Party — Minn. R. Civ. P. 45)</w:t>
      </w:r>
    </w:p>
    <w:p>
      <w:pPr>
        <w:spacing w:after="160" w:before="0" w:line="240" w:lineRule="auto"/>
      </w:pPr>
      <w:r>
        <w:rPr>
          <w:i/>
        </w:rPr>
        <w:t>[ HOW TO ISSUE THIS (pro se): Under Minn. R. Civ. P. 45.01(c), a self-represented party cannot issue a subpoena. Take this completed form to the Hennepin County court administrator, who will issue it signed but blank for your service. Under Rules 45.01(e) and 45.02(a), you must FIRST serve a copy of this subpoena, with notice, on FIE's counsel at least seven (7) days before the date of production. FIE also has the Prieve file within its control (see Request for Production No. 5), so this subpoena is primarily a backstop to obtain the native photographs and metadata directly from the engineer. ]</w:t>
      </w:r>
    </w:p>
    <w:p>
      <w:pPr>
        <w:spacing w:after="160" w:before="0" w:line="240" w:lineRule="auto"/>
      </w:pPr>
      <w:r>
        <w:rPr>
          <w:b/>
          <w:i w:val="0"/>
        </w:rPr>
        <w:t xml:space="preserve">TO:  </w:t>
      </w:r>
      <w:r>
        <w:rPr>
          <w:b w:val="0"/>
          <w:i w:val="0"/>
        </w:rPr>
        <w:t>Custodian of Records, Prieve Engineering, LLC, and/or Nathan Prieve, ______________________________ [address]</w:t>
      </w:r>
    </w:p>
    <w:p>
      <w:pPr>
        <w:spacing w:after="160" w:before="0" w:line="240" w:lineRule="auto"/>
      </w:pPr>
      <w:r>
        <w:rPr>
          <w:b/>
          <w:i w:val="0"/>
        </w:rPr>
        <w:t>YOU ARE COMMANDED</w:t>
      </w:r>
      <w:r>
        <w:rPr>
          <w:b w:val="0"/>
          <w:i w:val="0"/>
        </w:rPr>
        <w:t xml:space="preserve"> to produce and permit inspection and copying of the documents and electronically stored information described in Schedule A below, at ______________________________ on ______________, 202__, at ______ __.m. In lieu of appearance, you may comply by delivering legible copies (and native-format electronically stored information on suitable media) to Plaintiffs at 17756 George Moran Dr., Eden Prairie, MN 55347, on or before that date.</w:t>
      </w:r>
    </w:p>
    <w:p>
      <w:pPr>
        <w:spacing w:after="40" w:before="0" w:line="240" w:lineRule="auto"/>
      </w:pPr>
      <w:r>
        <w:rPr>
          <w:b/>
          <w:i w:val="0"/>
        </w:rPr>
        <w:t>Your rights and duties.</w:t>
      </w:r>
    </w:p>
    <w:p>
      <w:pPr>
        <w:spacing w:after="120" w:before="0" w:line="240" w:lineRule="auto"/>
        <w:ind w:left="720" w:hanging="360"/>
      </w:pPr>
      <w:r>
        <w:rPr>
          <w:b/>
        </w:rPr>
        <w:t xml:space="preserve">1.  </w:t>
      </w:r>
      <w:r>
        <w:t>You may serve a written objection to inspection or copying of any or all of the designated materials, or to the manner of production, within 14 days after this subpoena is served or before the time specified for compliance if that time is less than 14 days after service (Minn. R. Civ. P. 45.03(d)(2)).</w:t>
      </w:r>
    </w:p>
    <w:p>
      <w:pPr>
        <w:spacing w:after="120" w:before="0" w:line="240" w:lineRule="auto"/>
        <w:ind w:left="720" w:hanging="360"/>
      </w:pPr>
      <w:r>
        <w:rPr>
          <w:b/>
        </w:rPr>
        <w:t xml:space="preserve">2.  </w:t>
      </w:r>
      <w:r>
        <w:t>You need not appear in person at the place of production unless also commanded to appear for a deposition or hearing.</w:t>
      </w:r>
    </w:p>
    <w:p>
      <w:pPr>
        <w:spacing w:after="120" w:before="0" w:line="240" w:lineRule="auto"/>
        <w:ind w:left="720" w:hanging="360"/>
      </w:pPr>
      <w:r>
        <w:rPr>
          <w:b/>
        </w:rPr>
        <w:t xml:space="preserve">3.  </w:t>
      </w:r>
      <w:r>
        <w:t>On timely motion, the court will quash or modify the subpoena if it fails to allow reasonable time for compliance, requires disclosure of privileged or protected matter, or subjects you to undue burden (Minn. R. Civ. P. 45.03(c)).</w:t>
      </w:r>
    </w:p>
    <w:p>
      <w:pPr>
        <w:spacing w:after="80" w:before="0" w:line="240" w:lineRule="auto"/>
      </w:pPr>
    </w:p>
    <w:p>
      <w:pPr>
        <w:spacing w:after="80" w:before="0" w:line="240" w:lineRule="auto"/>
      </w:pPr>
      <w:r>
        <w:rPr>
          <w:b/>
          <w:i w:val="0"/>
        </w:rPr>
        <w:t>SCHEDULE A — DOCUMENTS AND ELECTRONICALLY STORED INFORMATION TO BE PRODUCED</w:t>
      </w:r>
    </w:p>
    <w:p>
      <w:pPr>
        <w:spacing w:after="120" w:before="0" w:line="240" w:lineRule="auto"/>
      </w:pPr>
      <w:r>
        <w:rPr>
          <w:b w:val="0"/>
          <w:i w:val="0"/>
        </w:rPr>
        <w:t>For purposes of this Schedule, "the Report" means the Prieve Engineering report, File #241008, concerning the property at 17756 George Moran Dr., Eden Prairie, Minnesota, and "the Property" means that property. Produce:</w:t>
      </w:r>
    </w:p>
    <w:p>
      <w:pPr>
        <w:spacing w:after="120" w:before="0" w:line="240" w:lineRule="auto"/>
        <w:ind w:left="720" w:hanging="360"/>
      </w:pPr>
      <w:r>
        <w:rPr>
          <w:b/>
        </w:rPr>
        <w:t xml:space="preserve">1.  </w:t>
      </w:r>
      <w:r>
        <w:t>The complete engineering and project file for File #241008 concerning the Property, including the engagement letter, retainer, and statement or scope of work.</w:t>
      </w:r>
    </w:p>
    <w:p>
      <w:pPr>
        <w:spacing w:after="120" w:before="0" w:line="240" w:lineRule="auto"/>
        <w:ind w:left="720" w:hanging="360"/>
      </w:pPr>
      <w:r>
        <w:rPr>
          <w:b/>
        </w:rPr>
        <w:t xml:space="preserve">2.  </w:t>
      </w:r>
      <w:r>
        <w:t>All field notes, measurements, diagrams, and sketches from the October 9, 2024 inspection of the Property.</w:t>
      </w:r>
    </w:p>
    <w:p>
      <w:pPr>
        <w:spacing w:after="120" w:before="0" w:line="240" w:lineRule="auto"/>
        <w:ind w:left="720" w:hanging="360"/>
      </w:pPr>
      <w:r>
        <w:rPr>
          <w:b/>
        </w:rPr>
        <w:t xml:space="preserve">3.  </w:t>
      </w:r>
      <w:r>
        <w:t>The complete set of native, original digital photographs taken at or for the inspection of the Property — not limited to the report's Photo Appendix A — produced in native format with all EXIF and other metadata intact and with original file names, together with any captioning worksheet or database used to caption them.</w:t>
      </w:r>
    </w:p>
    <w:p>
      <w:pPr>
        <w:spacing w:after="120" w:before="0" w:line="240" w:lineRule="auto"/>
        <w:ind w:left="720" w:hanging="360"/>
      </w:pPr>
      <w:r>
        <w:rPr>
          <w:b/>
        </w:rPr>
        <w:t xml:space="preserve">4.  </w:t>
      </w:r>
      <w:r>
        <w:t>All drafts of the Report and all communications, whether internal to Prieve or between Prieve and Fire Insurance Exchange, Farmers, or their agents, concerning the engagement, any draft, any edit or revision, or the scope of work.</w:t>
      </w:r>
    </w:p>
    <w:p>
      <w:pPr>
        <w:spacing w:after="120" w:before="0" w:line="240" w:lineRule="auto"/>
        <w:ind w:left="720" w:hanging="360"/>
      </w:pPr>
      <w:r>
        <w:rPr>
          <w:b/>
        </w:rPr>
        <w:t xml:space="preserve">5.  </w:t>
      </w:r>
      <w:r>
        <w:t>All weather data, radar data, and third-party or database reports (including any stormersite, NOAA Storm Events, or similar reports) that Prieve consulted or relied upon, including any supporting the statement that the most recent hail in Eden Prairie was reported in 2020.</w:t>
      </w:r>
    </w:p>
    <w:p>
      <w:pPr>
        <w:spacing w:after="120" w:before="0" w:line="240" w:lineRule="auto"/>
        <w:ind w:left="720" w:hanging="360"/>
      </w:pPr>
      <w:r>
        <w:rPr>
          <w:b/>
        </w:rPr>
        <w:t xml:space="preserve">6.  </w:t>
      </w:r>
      <w:r>
        <w:t>All impact-force, terminal-velocity, hail-size-threshold, or other engineering calculations, analyses, models, standards, or worksheets underlying the Report's conclusions, and any peer review of the Report.</w:t>
      </w:r>
    </w:p>
    <w:p>
      <w:pPr>
        <w:spacing w:after="120" w:before="0" w:line="240" w:lineRule="auto"/>
        <w:ind w:left="720" w:hanging="360"/>
      </w:pPr>
      <w:r>
        <w:rPr>
          <w:b/>
        </w:rPr>
        <w:t xml:space="preserve">7.  </w:t>
      </w:r>
      <w:r>
        <w:t>All billing records and invoices for the engagement.</w:t>
      </w:r>
    </w:p>
    <w:p>
      <w:pPr>
        <w:spacing w:after="160" w:before="0" w:line="240" w:lineRule="auto"/>
      </w:pPr>
      <w:r>
        <w:rPr>
          <w:i/>
        </w:rPr>
        <w:t>[ Optional (may draw a motion to quash as to a non-party — include only if pursuing vendor-pattern discovery): Documents sufficient to identify each other assignment Prieve Engineering received from Fire Insurance Exchange, Farmers, or their affiliates from January 1, 2020 forward, including the file number, claim number, type of loss, and causation finding for each. ]</w:t>
      </w:r>
    </w:p>
    <w:p>
      <w:pPr>
        <w:spacing w:after="40" w:before="0" w:line="240" w:lineRule="auto"/>
      </w:pPr>
    </w:p>
    <w:p>
      <w:pPr>
        <w:spacing w:after="0" w:before="0" w:line="240" w:lineRule="auto"/>
      </w:pPr>
      <w:r>
        <w:rPr>
          <w:b/>
          <w:i w:val="0"/>
        </w:rPr>
        <w:t>Issued by:</w:t>
      </w:r>
    </w:p>
    <w:p>
      <w:pPr>
        <w:spacing w:after="0" w:before="0" w:line="240" w:lineRule="auto"/>
      </w:pPr>
      <w:r>
        <w:rPr>
          <w:b w:val="0"/>
          <w:i w:val="0"/>
        </w:rPr>
        <w:t>______________________________          Date: ______________</w:t>
      </w:r>
    </w:p>
    <w:p>
      <w:pPr>
        <w:spacing w:after="0" w:before="0" w:line="240" w:lineRule="auto"/>
      </w:pPr>
      <w:r>
        <w:rPr>
          <w:b w:val="0"/>
          <w:i w:val="0"/>
        </w:rPr>
        <w:t>Court Administrator, Hennepin County District Court</w:t>
      </w:r>
    </w:p>
    <w:p>
      <w:pPr>
        <w:spacing w:after="200" w:before="0" w:line="240" w:lineRule="auto"/>
      </w:pPr>
      <w:r>
        <w:rPr>
          <w:b w:val="0"/>
          <w:i w:val="0"/>
        </w:rPr>
        <w:t>(or attorney authorized under Minn. R. Civ. P. 45.01(c))</w:t>
      </w:r>
    </w:p>
    <w:p>
      <w:pPr>
        <w:spacing w:after="40" w:before="0" w:line="240" w:lineRule="auto"/>
      </w:pPr>
      <w:r>
        <w:rPr>
          <w:b/>
          <w:i w:val="0"/>
        </w:rPr>
        <w:t>NOTICE TO PARTIES (Minn. R. Civ. P. 45.01(e), 45.02(a)):</w:t>
      </w:r>
    </w:p>
    <w:p>
      <w:pPr>
        <w:spacing w:after="240" w:before="0" w:line="240" w:lineRule="auto"/>
      </w:pPr>
      <w:r>
        <w:rPr>
          <w:b w:val="0"/>
          <w:i w:val="0"/>
        </w:rPr>
        <w:t>A copy of this subpoena was served, with notice, on Defendant's counsel of record at least seven (7) days before the date of production stated above.</w:t>
      </w:r>
    </w:p>
    <w:p>
      <w:pPr>
        <w:spacing w:after="40" w:before="0" w:line="240" w:lineRule="auto"/>
      </w:pPr>
      <w:r>
        <w:rPr>
          <w:b w:val="0"/>
          <w:i/>
        </w:rPr>
        <w:t>— Drafting notes (remove before issuing) —</w:t>
      </w:r>
    </w:p>
    <w:p>
      <w:pPr>
        <w:spacing w:after="80" w:before="0" w:line="240" w:lineRule="auto"/>
      </w:pPr>
      <w:r>
        <w:rPr>
          <w:b w:val="0"/>
          <w:i w:val="0"/>
        </w:rPr>
        <w:t xml:space="preserve">• </w:t>
      </w:r>
      <w:r>
        <w:rPr>
          <w:b w:val="0"/>
          <w:i/>
        </w:rPr>
        <w:t>Pair this subpoena with a deposition of Nathan Prieve during the expert-discovery phase (mid-2027 per the discovery plan). The engineering-methodology questions previously drafted as Interrogatories No. 7 and No. 8 (Prieve's data sources for the "2020" statement; the engineering basis, hail-size threshold, and impact-force analysis for the "not sufficient size" conclusion) belong at that deposition, not in interrogatories to FIE.</w:t>
      </w:r>
    </w:p>
    <w:p>
      <w:pPr>
        <w:spacing w:after="80" w:before="0" w:line="240" w:lineRule="auto"/>
      </w:pPr>
      <w:r>
        <w:rPr>
          <w:b w:val="0"/>
          <w:i w:val="0"/>
        </w:rPr>
        <w:t xml:space="preserve">• </w:t>
      </w:r>
      <w:r>
        <w:rPr>
          <w:b w:val="0"/>
          <w:i/>
        </w:rPr>
        <w:t>Because FIE retained and relied on Prieve, request the same file from FIE first via Request for Production No. 5; use this subpoena to obtain the native photographs/metadata and anything FIE does not produce.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