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Interrogatories</w:t>
      </w:r>
    </w:p>
    <w:p>
      <w:pPr>
        <w:spacing w:after="40"/>
        <w:jc w:val="center"/>
      </w:pPr>
      <w:r>
        <w:rPr>
          <w:b/>
          <w:bCs/>
          <w:caps/>
        </w:rPr>
        <w:t xml:space="preserve">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33 of the Minnesota Rules of Civil Procedure, Plaintiffs Yibiao Lu and Jie Hu serve the following interrogatories on Defendant, to be answered separately, fully, in writing, and under oath within thirty (30) days after service.</w:t>
      </w:r>
    </w:p>
    <w:p>
      <w:pPr>
        <w:spacing w:after="160" w:before="200"/>
        <w:jc w:val="center"/>
      </w:pPr>
      <w:r>
        <w:rPr>
          <w:b/>
          <w:bCs/>
          <w:caps/>
        </w:rPr>
        <w:t xml:space="preserve">Definitions</w:t>
      </w:r>
    </w:p>
    <w:p>
      <w:pPr>
        <w:spacing w:after="160" w:line="276"/>
        <w:ind w:left="720" w:hanging="576"/>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576"/>
      </w:pPr>
      <w:r>
        <w:rPr>
          <w:b/>
          <w:bCs/>
        </w:rPr>
        <w:t xml:space="preserve">"Plaintiffs" </w:t>
      </w:r>
      <w:r>
        <w:t xml:space="preserve">means Yibiao Lu and Jie Hu.</w:t>
      </w:r>
    </w:p>
    <w:p>
      <w:pPr>
        <w:spacing w:after="160" w:line="276"/>
        <w:ind w:left="720" w:hanging="576"/>
      </w:pPr>
      <w:r>
        <w:rPr>
          <w:b/>
          <w:bCs/>
        </w:rPr>
        <w:t xml:space="preserve">"The Claim" </w:t>
      </w:r>
      <w:r>
        <w:t xml:space="preserve">means Farmers claim number 7007986837-1-1, arising from the July 13, 2024 hail loss.</w:t>
      </w:r>
    </w:p>
    <w:p>
      <w:pPr>
        <w:spacing w:after="160" w:line="276"/>
        <w:ind w:left="720" w:hanging="576"/>
      </w:pPr>
      <w:r>
        <w:rPr>
          <w:b/>
          <w:bCs/>
        </w:rPr>
        <w:t xml:space="preserve">"The 2020 Claim" </w:t>
      </w:r>
      <w:r>
        <w:t xml:space="preserve">means Farmers claim number 3013539499-1.</w:t>
      </w:r>
    </w:p>
    <w:p>
      <w:pPr>
        <w:spacing w:after="160" w:line="276"/>
        <w:ind w:left="720" w:hanging="576"/>
      </w:pPr>
      <w:r>
        <w:rPr>
          <w:b/>
          <w:bCs/>
        </w:rPr>
        <w:t xml:space="preserve">"The Policy" </w:t>
      </w:r>
      <w:r>
        <w:t>means homeowner’s Policy 98055-49-65 (shown on Defendant’s correspondence as 0980554965), including all endorsements, in force on July 13, 2024.</w:t>
      </w:r>
    </w:p>
    <w:p>
      <w:pPr>
        <w:spacing w:after="160" w:line="276"/>
        <w:ind w:left="720" w:hanging="576"/>
      </w:pPr>
      <w:r>
        <w:rPr>
          <w:b/>
          <w:bCs/>
        </w:rPr>
        <w:t xml:space="preserve">"The Property" </w:t>
      </w:r>
      <w:r>
        <w:t xml:space="preserve">means the insured dwelling at 17756 George Moran Dr., Eden Prairie, Minnesota 55347.</w:t>
      </w:r>
    </w:p>
    <w:p>
      <w:pPr>
        <w:spacing w:after="160" w:line="276"/>
        <w:ind w:left="720" w:hanging="576"/>
      </w:pPr>
      <w:r>
        <w:rPr>
          <w:b/>
          <w:bCs/>
        </w:rPr>
        <w:t xml:space="preserve">"The Prieve Report" </w:t>
      </w:r>
      <w:r>
        <w:t xml:space="preserve">means the report of Prieve Engineering, LLC, File #241008, together with all drafts thereof.</w:t>
      </w:r>
    </w:p>
    <w:p>
      <w:pPr>
        <w:spacing w:after="160" w:line="276"/>
        <w:ind w:left="720" w:hanging="576"/>
      </w:pPr>
      <w:r>
        <w:rPr>
          <w:b/>
          <w:bCs/>
        </w:rPr>
        <w:t xml:space="preserve">“Photo Appendix A” </w:t>
      </w:r>
      <w:r>
        <w:t>means the 110-page photographic appendix to The Prieve Report, titled “PHOTO APPENDIX A” and bearing File Number 241008 and site visit date October 9, 2024, containing photographs numbered A-1 through A-217, transmitted to Plaintiffs with Your November 4, 2024 letter.</w:t>
      </w:r>
    </w:p>
    <w:p>
      <w:pPr>
        <w:spacing w:after="160" w:line="276"/>
        <w:ind w:left="720" w:hanging="576"/>
      </w:pPr>
      <w:r>
        <w:rPr>
          <w:b/>
          <w:bCs/>
        </w:rPr>
        <w:t xml:space="preserve">"The Appraisal Award" </w:t>
      </w:r>
      <w:r>
        <w:t xml:space="preserve">means the appraisal award entered September 12, 2025 under Minn. Stat. § 65A.01.</w:t>
      </w:r>
    </w:p>
    <w:p>
      <w:pPr>
        <w:spacing w:after="160" w:line="276"/>
        <w:ind w:left="720" w:hanging="576"/>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576"/>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576"/>
      </w:pPr>
      <w:r>
        <w:rPr>
          <w:b/>
          <w:bCs/>
        </w:rPr>
        <w:t xml:space="preserve">"Person" </w:t>
      </w:r>
      <w:r>
        <w:t xml:space="preserve">means any natural person or any business, legal, or governmental entity.</w:t>
      </w:r>
    </w:p>
    <w:p>
      <w:pPr>
        <w:spacing w:after="160" w:line="276"/>
        <w:ind w:left="720" w:hanging="576"/>
      </w:pPr>
      <w:r>
        <w:rPr>
          <w:b/>
          <w:bCs/>
        </w:rPr>
        <w:t xml:space="preserve">"Identify" </w:t>
      </w:r>
      <w:r>
        <w:t>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w:t>
      </w:r>
    </w:p>
    <w:p>
      <w:pPr>
        <w:spacing w:after="160" w:line="276"/>
        <w:ind w:left="720" w:hanging="576"/>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576"/>
      </w:pPr>
      <w:r>
        <w:rPr>
          <w:b/>
          <w:bCs/>
        </w:rPr>
        <w:t>1.</w:t>
        <w:tab/>
      </w:r>
      <w:r>
        <w:t>Time period. Unless a particular interrogatory specifies otherwise, each interrogatory covers the period January 1, 2020 through the present, except that as to The Policy, its issuance and underwriting, and all claims made at The Property before The Claim, each interrogatory covers the period October 22, 2014 through the present.</w:t>
      </w:r>
    </w:p>
    <w:p>
      <w:pPr>
        <w:spacing w:after="160" w:line="276"/>
        <w:ind w:left="720" w:hanging="576"/>
      </w:pPr>
      <w:r>
        <w:rPr>
          <w:b/>
          <w:bCs/>
        </w:rPr>
        <w:t>2.</w:t>
        <w:tab/>
      </w:r>
      <w:r>
        <w:t>Manner of answer. Each interrogatory must be answered separately, fully, in writing, and under oath, and the answers must be signed by the person making them, pursuant to Minn. R. Civ. P. 33.01(d).</w:t>
      </w:r>
    </w:p>
    <w:p>
      <w:pPr>
        <w:spacing w:after="160" w:line="276"/>
        <w:ind w:left="720" w:hanging="576"/>
      </w:pPr>
      <w:r>
        <w:rPr>
          <w:b/>
          <w:bCs/>
        </w:rPr>
        <w:t>3.</w:t>
        <w:tab/>
      </w:r>
      <w:r>
        <w:t xml:space="preserve">Continuing duty. These interrogatories are continuing. You must seasonably supplement or correct Your answers pursuant to Minn. R. Civ. P. 26.05.</w:t>
      </w:r>
    </w:p>
    <w:p>
      <w:pPr>
        <w:spacing w:after="160" w:line="276"/>
        <w:ind w:left="720" w:hanging="576"/>
      </w:pPr>
      <w:r>
        <w:rPr>
          <w:b/>
          <w:bCs/>
        </w:rPr>
        <w:t>4.</w:t>
        <w:tab/>
      </w:r>
      <w:r>
        <w:t xml:space="preserve">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pPr>
        <w:spacing w:after="160" w:line="276"/>
        <w:ind w:left="720" w:hanging="576"/>
      </w:pPr>
      <w:r>
        <w:rPr>
          <w:b/>
          <w:bCs/>
        </w:rPr>
        <w:t>5.</w:t>
        <w:tab/>
      </w:r>
      <w:r>
        <w:t>Option to produce records. If You elect to answer any interrogatory by producing business records under Minn. R. Civ. P. 33.03, specify the records to be produced in sufficient detail to permit Plaintiffs to locate and identify them as readily as You could.</w:t>
      </w:r>
    </w:p>
    <w:p>
      <w:pPr>
        <w:spacing w:after="160" w:line="276"/>
        <w:ind w:left="720" w:hanging="576"/>
      </w:pPr>
      <w:r>
        <w:rPr>
          <w:b/>
          <w:bCs/>
        </w:rPr>
        <w:t>6.</w:t>
        <w:tab/>
      </w:r>
      <w:r>
        <w:t>No responsive information. If no information exists responsive to an interrogatory, state so expressly. If responsive information once existed but is no longer available, state that in Your answer to the interrogatory concerned, identify the information, and provide as to it each particular called for by Interrogatory 14 (destroyed or unlocatable information).</w:t>
      </w:r>
    </w:p>
    <w:p>
      <w:pPr>
        <w:spacing w:after="160" w:line="276"/>
        <w:ind w:left="720" w:hanging="576"/>
      </w:pPr>
      <w:r>
        <w:rPr>
          <w:b/>
          <w:bCs/>
        </w:rPr>
        <w:t>7.</w:t>
        <w:tab/>
      </w:r>
      <w:r>
        <w:t xml:space="preserve">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pPr>
        <w:spacing w:after="160" w:line="276"/>
        <w:ind w:left="720" w:hanging="576"/>
      </w:pPr>
      <w:r>
        <w:rPr>
          <w:b/>
          <w:bCs/>
        </w:rPr>
        <w:t>8.</w:t>
        <w:tab/>
      </w:r>
      <w:r>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pPr>
        <w:spacing w:after="160" w:line="276"/>
        <w:ind w:left="720" w:hanging="576"/>
      </w:pPr>
      <w:r>
        <w:rPr>
          <w:b/>
          <w:bCs/>
        </w:rPr>
        <w:t>9.</w:t>
        <w:tab/>
      </w:r>
      <w:r>
        <w:t>Partial objections. If You object to any part of an interrogatory, answer the remainder. Each objection must state whether any responsive information is being withheld on the basis of that objection.</w:t>
      </w:r>
    </w:p>
    <w:p>
      <w:pPr>
        <w:spacing w:after="160" w:line="276"/>
        <w:ind w:left="720" w:hanging="576"/>
      </w:pPr>
      <w:r>
        <w:rPr>
          <w:b/>
          <w:bCs/>
        </w:rPr>
        <w:t>10.</w:t>
        <w:tab/>
      </w:r>
      <w:r>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pPr>
        <w:spacing w:after="160" w:line="276"/>
        <w:ind w:left="720" w:hanging="576"/>
      </w:pPr>
      <w:r>
        <w:rPr>
          <w:b/>
          <w:bCs/>
        </w:rPr>
        <w:t>11.</w:t>
        <w:tab/>
      </w:r>
      <w:r>
        <w:t>Dates. A date used to identify a communication, document, or event reflects Plaintiffs’ best information and is approximate. If Your records show a different date for a communication, document, or event otherwise matching the description, answer as to that communication, document, or event and state the date Your records show.</w:t>
      </w:r>
    </w:p>
    <w:p>
      <w:pPr>
        <w:spacing w:after="160" w:before="200"/>
        <w:jc w:val="center"/>
      </w:pPr>
      <w:r>
        <w:rPr>
          <w:b/>
          <w:bCs/>
          <w:caps/>
        </w:rPr>
        <w:t xml:space="preserve">Interrogatories</w:t>
      </w:r>
    </w:p>
    <w:p>
      <w:pPr>
        <w:spacing w:after="160" w:line="276"/>
        <w:ind w:left="720" w:hanging="576"/>
      </w:pPr>
      <w:r>
        <w:rPr>
          <w:b/>
          <w:bCs/>
        </w:rPr>
        <w:t xml:space="preserve">INTERROGATORY NO. 1:  </w:t>
      </w:r>
      <w:r>
        <w:t>Separately for each window of The Property that the Prieve Report’s Photo Appendix A depicts as dented, marked, or otherwise damaged, other than the windows designated “F1.7” and “B1.2” in The Appraisal Award, state the cause You attribute to that condition and the facts supporting that attribution, state whether You contend any policy exclusion or limitation applies to that window and, if so, which, and, if You contend The Appraisal Award determined the question for that window, identify the portion of the award You rely on.</w:t>
      </w:r>
    </w:p>
    <w:p>
      <w:pPr>
        <w:spacing w:after="160" w:line="276"/>
        <w:ind w:left="720" w:hanging="576"/>
      </w:pPr>
      <w:r>
        <w:rPr>
          <w:b/>
          <w:bCs/>
        </w:rPr>
        <w:t xml:space="preserve">INTERROGATORY NO. 2:  </w:t>
      </w:r>
      <w:r>
        <w:t>For each policy provision cited in the November 4, 2024 denial letter and its “Coverage Outcome – Policy Provisions” attachment as a ground for denying The Claim, state: the provision by section and number; whether You contend it operates as an exclusion or as a limitation on the grant of coverage; the specific factual basis on which You contend it applies to The Claim; the documents and witnesses on which You rely to support its application; and the person who decided to include it in the letter.</w:t>
      </w:r>
    </w:p>
    <w:p>
      <w:pPr>
        <w:spacing w:after="160" w:line="276"/>
        <w:ind w:left="720" w:hanging="576"/>
      </w:pPr>
      <w:r>
        <w:rPr>
          <w:b/>
          <w:bCs/>
        </w:rPr>
        <w:t xml:space="preserve">INTERROGATORY NO. 3:  </w:t>
      </w:r>
      <w:r>
        <w:t>Identify each non-window component of The Property (including without limitation downspouts, flashing, siding, trim board, doors, and screens) that the Prieve Report’s Photo Appendix A documents as dented, marked, or otherwise damaged, and for each such component state the cause You attribute to the damage and whether You contend that any policy exclusion or limitation applies.</w:t>
      </w:r>
    </w:p>
    <w:p>
      <w:pPr>
        <w:spacing w:after="160" w:line="276"/>
        <w:ind w:left="720" w:hanging="576"/>
      </w:pPr>
      <w:r>
        <w:rPr>
          <w:b/>
          <w:bCs/>
        </w:rPr>
        <w:t xml:space="preserve">INTERROGATORY NO. 4:  </w:t>
      </w:r>
      <w:r>
        <w:t>State the basis for Your decision to scope the Prieve Engineering engagement to the condition of the windows and to exclude the siding, downspouts, flashing, and doors that Plaintiffs had reported as damaged, identifying the date of that decision, the person(s) who made it, whether Plaintiffs were informed of it, and whether Prieve requested and was denied an expanded scope. If no document records the reason for the decision, state the reason and identify each person with knowledge of it.</w:t>
      </w:r>
    </w:p>
    <w:p>
      <w:pPr>
        <w:spacing w:after="160" w:line="276"/>
        <w:ind w:left="720" w:hanging="576"/>
      </w:pPr>
      <w:r>
        <w:rPr>
          <w:b/>
          <w:bCs/>
        </w:rPr>
        <w:t xml:space="preserve">INTERROGATORY NO. 5:  </w:t>
      </w:r>
      <w:r>
        <w:t>For each line item in the 2020 Xactimate estimate for The 2020 Claim, identify the specific window or sash to which the line item relates by location and elevation, state whether the line item paid for replacement of an entire window unit or for one or more individual sashes, and identify each window, sash, or component that the 2020 inspection observed or photographed as damaged but did not include in a paid line item, together with the reason for its exclusion. The correspondence between a given line item and a specific window or sash is not ascertainable from the estimate itself and is known only to You and Your adjusters.</w:t>
      </w:r>
    </w:p>
    <w:p>
      <w:pPr>
        <w:spacing w:after="160" w:line="276"/>
        <w:ind w:left="720" w:hanging="576"/>
      </w:pPr>
      <w:r>
        <w:rPr>
          <w:b/>
          <w:bCs/>
        </w:rPr>
        <w:t xml:space="preserve">INTERROGATORY NO. 6:  </w:t>
      </w:r>
      <w:r>
        <w:t>Identify, by date, speaker, recipient(s), and medium, each communication in which You articulated, restated, or applied any requirement that evidence on a hail claim be provided by an engineer, including without limitation the February 3, 2025 telephone call between Bradlee Monson and Yibiao Lu, and the 11:06 a.m. February 10, 2025 voicemail from Nicholas Brau.</w:t>
      </w:r>
    </w:p>
    <w:p>
      <w:pPr>
        <w:spacing w:after="160" w:line="276"/>
        <w:ind w:left="720" w:hanging="576"/>
      </w:pPr>
      <w:r>
        <w:rPr>
          <w:b/>
          <w:bCs/>
        </w:rPr>
        <w:t xml:space="preserve">INTERROGATORY NO. 7:  </w:t>
      </w:r>
      <w:r>
        <w:t xml:space="preserve">State whether Nicholas Brau created any record of any kind of his September 6, 2024 inspection of The Property — including handwritten notes, sketches or drawings, measurements, photographs, voice memos, and claim-system or portal entries made on or after that date — and for each such record state its type, the date created, its present location and custodian, and, if it no longer exists or cannot be located, when and how it ceased to exist or became unlocatable and who authorized or caused that. Then state the basis for Your October 10, 2025 statement that “the file does not contain a report on the requested date,” and identify the search performed to locate records of the inspection, the custodians and systems searched, the date of the search, and the person who performed it.</w:t>
      </w:r>
    </w:p>
    <w:p>
      <w:pPr>
        <w:spacing w:after="160" w:line="276"/>
        <w:ind w:left="720" w:hanging="576"/>
      </w:pPr>
      <w:r>
        <w:rPr>
          <w:b/>
          <w:bCs/>
        </w:rPr>
        <w:t xml:space="preserve">INTERROGATORY NO. 8:  </w:t>
      </w:r>
      <w:r>
        <w:t>State the basis for Nicholas Brau’s October 29, 2025 statement that "all the information we can release has already been sent to you," identifying what specifically had been released, to whom, on what date, and which of Mr. Brau’s observations from the September 6, 2024 inspection are included in that release. State whether You contend the October 10, 2025 statement and the October 29, 2025 statement are consistent with one another and, if so, the basis for that contention.</w:t>
      </w:r>
    </w:p>
    <w:p>
      <w:pPr>
        <w:spacing w:after="160" w:line="276"/>
        <w:ind w:left="720" w:hanging="576"/>
      </w:pPr>
      <w:r>
        <w:rPr>
          <w:b/>
          <w:bCs/>
        </w:rPr>
        <w:t xml:space="preserve">INTERROGATORY NO. 9:  </w:t>
      </w:r>
      <w:r>
        <w:t xml:space="preserve">For each of the September 3, 2024 and November 4, 2024 denial letters, describe the supervisory review performed before the letter was issued, identifying the reviewer(s), the steps taken, the date of the review, and any documents created during the review.</w:t>
      </w:r>
    </w:p>
    <w:p>
      <w:pPr>
        <w:spacing w:after="160" w:line="276"/>
        <w:ind w:left="720" w:hanging="576"/>
      </w:pPr>
      <w:r>
        <w:rPr>
          <w:b/>
          <w:bCs/>
        </w:rPr>
        <w:t xml:space="preserve">INTERROGATORY NO. 10:  </w:t>
      </w:r>
      <w:r>
        <w:t>State each fact on which You base any contention that The Appraisal Award resolved The Claim within the meaning of Minn. Stat. § 604.18, subd. 4(c), and identify every window that the award is intended to cover and every window it is intended to exclude, with the document or communication supporting each identification.</w:t>
      </w:r>
    </w:p>
    <w:p>
      <w:pPr>
        <w:spacing w:after="160" w:before="0" w:line="240" w:lineRule="auto"/>
        <w:ind w:left="720" w:hanging="576"/>
      </w:pPr>
      <w:r>
        <w:rPr>
          <w:b/>
        </w:rPr>
        <w:t xml:space="preserve">INTERROGATORY NO. 11:  </w:t>
      </w:r>
      <w:r>
        <w:t>Describe Your policies, procedures, and practices for retaining, reviewing, evaluating, and accepting or rejecting third-party inspection reports and engineering reports on property claims, including the Hancock Claims Consultants and Prieve Engineering reports in The Claim, stating: (a) who within Farmers reviews such reports; (b) what independent review or analysis, if any, Farmers performs of a vendor’s findings and conclusions before relying on them; (c) whether and how an adjuster or supervisor may accept, modify, or reject a vendor’s conclusions; and (d) the review actually performed of the Hancock and Prieve reports in The Claim, identifying each person involved and each document created.</w:t>
      </w:r>
    </w:p>
    <w:p>
      <w:pPr>
        <w:spacing w:after="160" w:before="0" w:line="240" w:lineRule="auto"/>
        <w:ind w:left="720" w:hanging="576"/>
      </w:pPr>
      <w:r>
        <w:rPr>
          <w:b/>
        </w:rPr>
        <w:t xml:space="preserve">INTERROGATORY NO. 12:  </w:t>
      </w:r>
      <w:r>
        <w:t>Identify, for each of the following, the specific legal entity that performed the act, and state that entity’s form and state of organization: (a) the entity that issued and underwrote The Policy; (b) the entity that employed or engaged Nicholas Brau, Bradlee Monson, Christian Dudley, and Peter Pietila at the time of their involvement in The Claim; (c) the entity that made the coverage decisions communicated in the September 3, 2024 and November 4, 2024 letters; (d) the entity that retained Hancock Claims Consultants and Prieve Engineering, LLC; (e) the entity that maintains the claim file for The Claim and The 2020 Claim; and (f) the entity that appointed Greg Tomes as appraiser. For each, state the basis of the relationship between that entity and Fire Insurance Exchange, and identify the subscription agreement, power of attorney, or other instrument governing the attorney-in-fact relationship between Fire Insurance Exchange and Fire Underwriters Association.</w:t>
      </w:r>
    </w:p>
    <w:p>
      <w:pPr>
        <w:spacing w:after="160" w:before="0" w:line="240" w:lineRule="auto"/>
        <w:ind w:left="720" w:hanging="576"/>
      </w:pPr>
      <w:r>
        <w:rPr>
          <w:b/>
        </w:rPr>
        <w:t xml:space="preserve">INTERROGATORY NO. 13:  </w:t>
      </w:r>
      <w:r>
        <w:t>Identify each person known to You to have knowledge of any fact at issue in this action, including without limitation facts relating to The Claim, The 2020 Claim, any inspection of The Property, the appraisal, or the denial decisions, and state the subject matter of each person’s knowledge.</w:t>
      </w:r>
    </w:p>
    <w:p>
      <w:pPr>
        <w:spacing w:after="160" w:before="0" w:line="240" w:lineRule="auto"/>
        <w:ind w:left="720" w:hanging="576"/>
      </w:pPr>
      <w:r>
        <w:rPr>
          <w:b/>
        </w:rPr>
        <w:t xml:space="preserve">INTERROGATORY NO. 14:  </w:t>
      </w:r>
      <w:r>
        <w:t>For each document or item of information responsive to any discovery request in Plaintiffs’ First Sets that You contend no longer exists or cannot be located, identify the document or information by type, date, author, and subject matter; state the date and manner of its destruction or loss; identify the person who authorized or caused it and the retention policy or schedule under which it occurred; and identify each person who had custody of it.</w:t>
      </w:r>
    </w:p>
    <w:p>
      <w:pPr>
        <w:spacing w:after="160" w:before="0" w:line="240" w:lineRule="auto"/>
        <w:ind w:left="720" w:hanging="576"/>
      </w:pPr>
      <w:r>
        <w:rPr>
          <w:b/>
        </w:rPr>
        <w:t xml:space="preserve">INTERROGATORY NO. 15:  </w:t>
      </w:r>
      <w:r>
        <w:t xml:space="preserve">For each of the following submissions by Plaintiffs — (i) the January 31, 2025 response and its attachments concerning post-2020 storm activity and gutter replacement; (ii) the February 10, 2025 second response containing City of Eden Prairie permit records and the neighbor canvass; and (iii) the May 28, 2025 National Weather Service and Interactive Hail Maps material delivered through agent Peter Pietila — state whether any person acting for You reviewed the submission on its merits, and if so identify that person, the date of the review, the conclusion reached, and each claim-file note or other document recording it; and if no such review occurred, state so and the reason.</w:t>
      </w:r>
    </w:p>
    <w:p>
      <w:pPr>
        <w:spacing w:after="160" w:before="0" w:line="240" w:lineRule="auto"/>
        <w:ind w:left="720" w:hanging="576"/>
      </w:pPr>
      <w:r>
        <w:rPr>
          <w:b/>
        </w:rPr>
        <w:t xml:space="preserve">INTERROGATORY NO. 16:  </w:t>
      </w:r>
      <w:r>
        <w:t xml:space="preserve">With respect to the allegation in Your Answer to paragraph 14 of the Complaint that Plaintiffs “attempted to direct the claim-handling process by adamantly advising Hancock Claims Consultants that the only thing that needed to be inspected was the windows on the inside where they were leaking,” state: each person who made and each person who received that advice, the date and manner of the communication, and each document in which it was recorded at the time; whether the scope of Hancock’s August 29, 2024 inspection was in fact limited as a result and, if so, which components of The Property were not inspected on that account; and whether You contend that this alleged advice was a basis for the statement in Your September 3, 2024 letter that “[t]here were no other damages observed.”</w:t>
      </w:r>
    </w:p>
    <w:p>
      <w:pPr>
        <w:spacing w:after="160" w:before="0" w:line="240" w:lineRule="auto"/>
        <w:ind w:left="720" w:hanging="576"/>
      </w:pPr>
      <w:r>
        <w:rPr>
          <w:b/>
        </w:rPr>
        <w:t xml:space="preserve">INTERROGATORY NO. 17:  </w:t>
      </w:r>
      <w:r>
        <w:t xml:space="preserve">State the date on which You contend You first anticipated litigation concerning The Claim, identify the person who made that determination and the event or communication that prompted it, and identify each category of document created after that date that You contend is protected from discovery on that basis.</w:t>
      </w:r>
    </w:p>
    <w:p>
      <w:pPr>
        <w:spacing w:after="160" w:before="0" w:line="240" w:lineRule="auto"/>
        <w:ind w:left="720" w:hanging="576"/>
      </w:pPr>
      <w:r>
        <w:rPr>
          <w:b/>
        </w:rPr>
        <w:t xml:space="preserve">INTERROGATORY NO. 18:  </w:t>
      </w:r>
      <w:r>
        <w:t>Identify each portion of The Appraisal Award that You contend states the actual value and the loss separately for each item, specifying for each awarded item the actual value and the loss You contend the award states and the location on the award where each appears; and if You contend the award states a value or loss for any item other than the two awarded windows, identify that item and the amount.</w:t>
      </w:r>
    </w:p>
    <w:p>
      <w:pPr>
        <w:spacing w:after="160" w:before="200" w:line="276"/>
      </w:pPr>
      <w:r>
        <w:t>Pursuant to Minn. R. Civ. P. 33.01(a), Plaintiffs state that the foregoing interrogatories, counting each subdivision of separate questions as an interrogatory, number fewer than thirty-five (35) and do not exceed the fifty (50) interrogatories permitted without leave of court. Plaintiffs reserve the right to serve additional interrogatories by stipulation or upon leave of court.</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576"/>
      </w:pPr>
      <w:r>
        <w:rPr>
          <w:i w:val="0"/>
        </w:rPr>
        <w:t>1.</w:t>
        <w:tab/>
        <w:t>I am over the age of 18 years and a Plaintiff in this action. I personally made the service described below by electronic mail, in the manner the parties have agreed. Minn. R. Civ. P. 5.02(b); Minn. Gen. R. Prac. 14.03(d)(2).</w:t>
      </w:r>
    </w:p>
    <w:p>
      <w:pPr>
        <w:spacing w:after="160" w:line="276"/>
        <w:ind w:left="720" w:hanging="576"/>
      </w:pPr>
      <w:r>
        <w:rPr>
          <w:i w:val="0"/>
        </w:rPr>
        <w:t>2.</w:t>
        <w:tab/>
        <w:t xml:space="preserve">On ______________, 2026, at ______ __.m. local Minnesota time, I served a true and correct copy of </w:t>
      </w:r>
      <w:r>
        <w:rPr>
          <w:i/>
        </w:rPr>
        <w:t>Plaintiffs’ First Set of Interrogatories to Defendant Fire Insurance Exchange</w:t>
      </w:r>
      <w:r>
        <w:rPr>
          <w:i w:val="0"/>
        </w:rPr>
        <w:t xml:space="preserve"> upon Defendant's counsel of record by transmitting it as a PDF attachment to an electronic mail message addressed as follows:</w:t>
      </w:r>
    </w:p>
    <w:p>
      <w:pPr>
        <w:spacing w:after="80" w:line="276"/>
        <w:ind w:left="1080"/>
      </w:pPr>
      <w:r>
        <w:rPr>
          <w:i w:val="0"/>
        </w:rPr>
        <w:t>Kevin J. Kennedy (#193872) — kkennedy@kennedylf.com</w:t>
      </w:r>
    </w:p>
    <w:p>
      <w:pPr>
        <w:spacing w:after="80" w:line="276"/>
        <w:ind w:left="1080"/>
      </w:pPr>
      <w:r>
        <w:rPr>
          <w:i w:val="0"/>
        </w:rPr>
        <w:t>Mary J. Baskfield (#0314572) — mbaskfield@kennedylf.com</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576"/>
      </w:pPr>
      <w:r>
        <w:rPr>
          <w:i w:val="0"/>
        </w:rPr>
        <w:t>3.</w:t>
        <w:tab/>
        <w:t>The transmission was sent from bill_y_lu@yahoo.com. I did not receive any indication that the transmission failed or was undeliverable. I have retained a copy of the transmission.</w:t>
      </w:r>
    </w:p>
    <w:p>
      <w:pPr>
        <w:spacing w:after="160" w:line="276"/>
        <w:ind w:left="720" w:hanging="576"/>
      </w:pPr>
      <w:r>
        <w:rPr>
          <w:i w:val="0"/>
        </w:rPr>
        <w:t>4.</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tabs>
          <w:tab w:pos="2016" w:val="left"/>
        </w:tabs>
        <w:spacing w:after="0" w:line="276"/>
      </w:pPr>
      <w:r>
        <w:rPr>
          <w:b w:val="0"/>
          <w:i w:val="0"/>
        </w:rPr>
        <w:t>Name:</w:t>
        <w:tab/>
        <w:t>Yibiao Lu</w:t>
      </w:r>
    </w:p>
    <w:p>
      <w:pPr>
        <w:tabs>
          <w:tab w:pos="2016" w:val="left"/>
        </w:tabs>
        <w:spacing w:after="0" w:line="276"/>
      </w:pPr>
      <w:r>
        <w:rPr>
          <w:b w:val="0"/>
          <w:i w:val="0"/>
        </w:rPr>
        <w:t>Address:</w:t>
        <w:tab/>
        <w:t>17756 George Moran Dr.</w:t>
      </w:r>
    </w:p>
    <w:p>
      <w:pPr>
        <w:tabs>
          <w:tab w:pos="2016" w:val="left"/>
        </w:tabs>
        <w:spacing w:after="0" w:line="276"/>
      </w:pPr>
      <w:r>
        <w:rPr>
          <w:b w:val="0"/>
          <w:i w:val="0"/>
        </w:rPr>
        <w:t>City/State/Zip:</w:t>
        <w:tab/>
        <w:t>Eden Prairie, MN 55347</w:t>
      </w:r>
    </w:p>
    <w:p>
      <w:pPr>
        <w:tabs>
          <w:tab w:pos="2016" w:val="left"/>
        </w:tabs>
        <w:spacing w:after="0" w:line="276"/>
      </w:pPr>
      <w:r>
        <w:rPr>
          <w:b w:val="0"/>
          <w:i w:val="0"/>
        </w:rPr>
        <w:t>Telephone:</w:t>
        <w:tab/>
        <w:t>763-843-2859</w:t>
      </w:r>
    </w:p>
    <w:p>
      <w:pPr>
        <w:tabs>
          <w:tab w:pos="2016" w:val="left"/>
        </w:tabs>
        <w:spacing w:after="160" w:line="276"/>
      </w:pPr>
      <w:r>
        <w:rPr>
          <w:b w:val="0"/>
          <w:i w:val="0"/>
        </w:rPr>
        <w:t>E-mail address:</w:t>
        <w:tab/>
        <w:t>bill_y_lu@yahoo.com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2026-08-09T23:29:21.979Z</dcterms:created>
  <dcterms:modified xsi:type="dcterms:W3CDTF">2026-08-09T23:29:21.993Z</dcterms:modified>
</cp:coreProperties>
</file>

<file path=docProps/custom.xml><?xml version="1.0" encoding="utf-8"?>
<Properties xmlns="http://schemas.openxmlformats.org/officeDocument/2006/custom-properties" xmlns:vt="http://schemas.openxmlformats.org/officeDocument/2006/docPropsVTypes"/>
</file>