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W w:type="dxa" w:w="9360"/>
      </w:tblPr>
      <w:tblGrid>
        <w:gridCol w:w="4900"/>
        <w:gridCol w:w="4460"/>
      </w:tblGrid>
      <w:tr>
        <w:tc>
          <w:tcPr>
            <w:tcW w:type="dxa" w:w="4900"/>
            <w:tcBorders>
              <w:top w:val="none" w:color="FFFFFF" w:sz="0"/>
              <w:left w:val="none" w:color="FFFFFF" w:sz="0"/>
              <w:bottom w:val="none" w:color="FFFFFF" w:sz="0"/>
              <w:right w:val="single" w:color="000000" w:sz="6"/>
            </w:tcBorders>
          </w:tcPr>
          <w:p>
            <w:pPr>
              <w:spacing w:after="0" w:before="0" w:line="240" w:lineRule="auto"/>
            </w:pPr>
            <w:r>
              <w:t>STATE OF MINNESOTA</w:t>
            </w:r>
          </w:p>
          <w:p>
            <w:pPr>
              <w:spacing w:after="0" w:before="0" w:line="240" w:lineRule="auto"/>
            </w:pPr>
            <w:r>
              <w:t>COUNTY OF HENNEPIN</w:t>
            </w:r>
          </w:p>
          <w:p>
            <w:pPr>
              <w:spacing w:after="0" w:before="0" w:line="240" w:lineRule="auto"/>
            </w:pPr>
          </w:p>
          <w:p>
            <w:pPr>
              <w:spacing w:after="0" w:before="0" w:line="240" w:lineRule="auto"/>
            </w:pPr>
            <w:r>
              <w:t>Yibiao Lu and Jie Hu,</w:t>
            </w:r>
          </w:p>
          <w:p>
            <w:pPr>
              <w:spacing w:after="0" w:before="0" w:line="240" w:lineRule="auto"/>
            </w:pPr>
            <w:r>
              <w:tab/>
              <w:tab/>
              <w:tab/>
              <w:t>Plaintiffs,</w:t>
            </w:r>
          </w:p>
          <w:p>
            <w:pPr>
              <w:spacing w:after="0" w:before="0" w:line="240" w:lineRule="auto"/>
            </w:pPr>
          </w:p>
          <w:p>
            <w:pPr>
              <w:spacing w:after="0" w:before="0" w:line="240" w:lineRule="auto"/>
            </w:pPr>
            <w:r>
              <w:t>vs.</w:t>
            </w:r>
          </w:p>
          <w:p>
            <w:pPr>
              <w:spacing w:after="0" w:before="0" w:line="240" w:lineRule="auto"/>
            </w:pPr>
          </w:p>
          <w:p>
            <w:pPr>
              <w:spacing w:after="0" w:before="0" w:line="240" w:lineRule="auto"/>
            </w:pPr>
            <w:r>
              <w:t>Fire Insurance Exchange, by and through its attorney-in-fact Fire Underwriters Association, doing business as Farmers Insurance,</w:t>
            </w:r>
          </w:p>
          <w:p>
            <w:pPr>
              <w:spacing w:after="0" w:before="0" w:line="240" w:lineRule="auto"/>
            </w:pPr>
          </w:p>
          <w:p>
            <w:pPr>
              <w:spacing w:after="0" w:before="0" w:line="240" w:lineRule="auto"/>
            </w:pPr>
            <w:r>
              <w:tab/>
              <w:tab/>
              <w:tab/>
              <w:t>Defendant.</w:t>
            </w:r>
          </w:p>
        </w:tc>
        <w:tc>
          <w:tcPr>
            <w:tcW w:type="dxa" w:w="4460"/>
          </w:tcPr>
          <w:p>
            <w:pPr>
              <w:spacing w:after="0" w:before="0" w:line="240" w:lineRule="auto"/>
            </w:pPr>
            <w:r>
              <w:t>DISTRICT COURT</w:t>
            </w:r>
          </w:p>
          <w:p>
            <w:pPr>
              <w:spacing w:after="0" w:before="0" w:line="240" w:lineRule="auto"/>
            </w:pPr>
            <w:r>
              <w:t>FOURTH JUDICIAL DISTRICT</w:t>
            </w:r>
          </w:p>
          <w:p>
            <w:pPr>
              <w:spacing w:after="0" w:before="0" w:line="240" w:lineRule="auto"/>
            </w:pPr>
          </w:p>
          <w:p>
            <w:pPr>
              <w:spacing w:after="0" w:before="0" w:line="240" w:lineRule="auto"/>
            </w:pPr>
            <w:r>
              <w:t>Case Type: Contract</w:t>
            </w:r>
          </w:p>
          <w:p>
            <w:pPr>
              <w:spacing w:after="0" w:before="0" w:line="240" w:lineRule="auto"/>
            </w:pPr>
          </w:p>
          <w:p>
            <w:pPr>
              <w:spacing w:after="0" w:before="0" w:line="240" w:lineRule="auto"/>
            </w:pPr>
            <w:r>
              <w:t>Court File No. 27-CV-26-11606</w:t>
            </w:r>
          </w:p>
          <w:p>
            <w:pPr>
              <w:spacing w:after="0" w:before="0" w:line="240" w:lineRule="auto"/>
            </w:pPr>
          </w:p>
          <w:p>
            <w:pPr>
              <w:spacing w:after="0" w:before="0" w:line="240" w:lineRule="auto"/>
            </w:pPr>
            <w:r>
              <w:t>Judge: Jamie L. Anderson</w:t>
            </w:r>
          </w:p>
        </w:tc>
      </w:tr>
    </w:tbl>
    <w:p>
      <w:pPr>
        <w:spacing w:after="80" w:before="0"/>
        <w:jc w:val="center"/>
      </w:pPr>
      <w:r>
        <w:rPr>
          <w:rFonts w:ascii="Times New Roman" w:hAnsi="Times New Roman"/>
          <w:b/>
          <w:i/>
          <w:sz w:val="20"/>
        </w:rPr>
        <w:t>[ DRAFT FOR DEFENDANT'S REVIEW — DELETE THIS BOX BEFORE FILING ]</w:t>
      </w:r>
    </w:p>
    <w:p>
      <w:pPr>
        <w:spacing w:after="280" w:before="0"/>
      </w:pPr>
      <w:r>
        <w:rPr>
          <w:rFonts w:ascii="Times New Roman" w:hAnsi="Times New Roman"/>
          <w:b w:val="0"/>
          <w:i/>
          <w:sz w:val="20"/>
        </w:rPr>
        <w:t>Plaintiffs circulate this as a proposed joint report under Minn. R. Civ. P. 26.06(b), which calls for a single written report, and Rule 26.06(c), which provides that a discovery plan states “the parties’ views and proposals” — so the parties’ disagreement does not require separate filings. The numbered questions and the text in the left-hand column are taken verbatim from Defendant’s August 27 draft. Wherever the parties’ text differs, the two proposals are set side by side so the Court can see the difference at a glance; where the parties agree, a single paragraph is given. Defendant’s date column in paragraph 7 reproduces its August 27 draft; two entries (non-dispositive motions and deadline to mediate) appear to contain year typographical errors and are marked for confirmation. Please supply Defendant’s position statement in paragraph 7, revise the right-hand columns as Defendant sees fit, and return any edits.</w:t>
      </w:r>
    </w:p>
    <w:p>
      <w:pPr>
        <w:spacing w:after="240" w:before="0"/>
        <w:jc w:val="center"/>
      </w:pPr>
      <w:r>
        <w:rPr>
          <w:rFonts w:ascii="Times New Roman" w:hAnsi="Times New Roman"/>
          <w:b/>
          <w:i w:val="0"/>
          <w:sz w:val="24"/>
        </w:rPr>
        <w:t>JOINT RULE 26.06 DISCOVERY PLAN</w:t>
      </w:r>
    </w:p>
    <w:p>
      <w:pPr>
        <w:spacing w:after="160" w:before="0"/>
      </w:pPr>
      <w:r>
        <w:rPr>
          <w:rFonts w:ascii="Times New Roman" w:hAnsi="Times New Roman"/>
          <w:b w:val="0"/>
          <w:i w:val="0"/>
          <w:sz w:val="24"/>
        </w:rPr>
        <w:t>The parties conferred on August 28, 2026 as required by Minn. R. Civ. P. 26.06, and submit the following discovery plan. The parties agree on the matters stated in paragraph 1. On the matters in paragraphs 2 through 8, each party's proposal is set out separately.</w:t>
      </w:r>
    </w:p>
    <w:p>
      <w:pPr>
        <w:spacing w:after="160" w:before="0"/>
      </w:pPr>
      <w:r>
        <w:rPr>
          <w:rFonts w:ascii="Times New Roman" w:hAnsi="Times New Roman"/>
          <w:b/>
          <w:i w:val="0"/>
          <w:sz w:val="24"/>
        </w:rPr>
        <w:t>1.  What changes should be made in the timing, form, or requirement for disclosures under Rule 26.01, including a statement of when initial disclosures were made or will be made:</w:t>
      </w:r>
    </w:p>
    <w:p>
      <w:pPr>
        <w:spacing w:after="240" w:before="0"/>
        <w:ind w:left="432"/>
      </w:pPr>
      <w:r>
        <w:rPr>
          <w:rFonts w:ascii="Times New Roman" w:hAnsi="Times New Roman"/>
          <w:b/>
          <w:i w:val="0"/>
          <w:sz w:val="24"/>
        </w:rPr>
        <w:t>AGREED.</w:t>
      </w:r>
      <w:r>
        <w:rPr>
          <w:rFonts w:ascii="Times New Roman" w:hAnsi="Times New Roman"/>
          <w:b w:val="0"/>
          <w:i w:val="0"/>
          <w:sz w:val="24"/>
        </w:rPr>
        <w:t xml:space="preserve">  No changes necessary. Initial disclosures shall be made in accordance with Rule 26.01, on or before September 25, 2026.</w:t>
      </w:r>
    </w:p>
    <w:p>
      <w:pPr>
        <w:spacing w:after="160" w:before="0"/>
      </w:pPr>
      <w:r>
        <w:rPr>
          <w:rFonts w:ascii="Times New Roman" w:hAnsi="Times New Roman"/>
          <w:b/>
          <w:i w:val="0"/>
          <w:sz w:val="24"/>
        </w:rPr>
        <w:t>2.  The subjects on which discovery may be needed, when discovery should be completed, and whether discovery should be conducted in phases or be limited to or focused on particular issues:</w:t>
      </w:r>
    </w:p>
    <w:tbl>
      <w:tblPr>
        <w:tblStyle w:val="TableGrid"/>
        <w:tblW w:type="auto" w:w="0"/>
        <w:jc w:val="center"/>
        <w:tblLook w:firstColumn="1" w:firstRow="1" w:lastColumn="0" w:lastRow="0" w:noHBand="0" w:noVBand="1" w:val="04A0"/>
      </w:tblPr>
      <w:tblGrid>
        <w:gridCol w:w="4680"/>
        <w:gridCol w:w="4680"/>
      </w:tblGrid>
      <w:tr>
        <w:tc>
          <w:tcPr>
            <w:tcW w:type="dxa" w:w="4680"/>
          </w:tcPr>
          <w:p>
            <w:pPr>
              <w:spacing w:after="80" w:before="0"/>
            </w:pPr>
            <w:r>
              <w:rPr>
                <w:rFonts w:ascii="Times New Roman" w:hAnsi="Times New Roman"/>
                <w:b/>
                <w:i w:val="0"/>
                <w:sz w:val="21"/>
              </w:rPr>
              <w:t>Defendant's August 27 draft</w:t>
            </w:r>
          </w:p>
        </w:tc>
        <w:tc>
          <w:tcPr>
            <w:tcW w:type="dxa" w:w="4680"/>
          </w:tcPr>
          <w:p>
            <w:pPr>
              <w:spacing w:after="80" w:before="0"/>
            </w:pPr>
            <w:r>
              <w:rPr>
                <w:rFonts w:ascii="Times New Roman" w:hAnsi="Times New Roman"/>
                <w:b/>
                <w:i w:val="0"/>
                <w:sz w:val="21"/>
              </w:rPr>
              <w:t>Plaintiffs' proposed text</w:t>
            </w:r>
          </w:p>
        </w:tc>
      </w:tr>
      <w:tr>
        <w:tc>
          <w:tcPr>
            <w:tcW w:type="dxa" w:w="4680"/>
          </w:tcPr>
          <w:p>
            <w:pPr>
              <w:spacing w:after="80" w:before="0"/>
            </w:pPr>
            <w:r>
              <w:rPr>
                <w:rFonts w:ascii="Times New Roman" w:hAnsi="Times New Roman"/>
                <w:b w:val="0"/>
                <w:i w:val="0"/>
                <w:sz w:val="21"/>
              </w:rPr>
              <w:t>Discovery will be needed on Plaintiff's claims and Defendant's defenses to those claims. The parties anticipate completing non-expert and expert discovery by the deadlines set forth in paragraph 6. Discovery should not be conducted in phases or limited to particular issues.</w:t>
            </w:r>
          </w:p>
        </w:tc>
        <w:tc>
          <w:tcPr>
            <w:tcW w:type="dxa" w:w="4680"/>
          </w:tcPr>
          <w:p>
            <w:pPr>
              <w:spacing w:after="80" w:before="0"/>
            </w:pPr>
            <w:r>
              <w:rPr>
                <w:rFonts w:ascii="Times New Roman" w:hAnsi="Times New Roman"/>
                <w:b w:val="0"/>
                <w:i w:val="0"/>
                <w:sz w:val="21"/>
              </w:rPr>
              <w:t>Discovery will be needed on Plaintiffs' claims and Defendant's defenses. The subjects include:</w:t>
            </w:r>
          </w:p>
          <w:p>
            <w:pPr>
              <w:spacing w:after="80" w:before="0"/>
              <w:ind w:left="317" w:hanging="202"/>
            </w:pPr>
            <w:r>
              <w:rPr>
                <w:rFonts w:ascii="Times New Roman" w:hAnsi="Times New Roman"/>
                <w:b w:val="0"/>
                <w:i w:val="0"/>
                <w:sz w:val="21"/>
              </w:rPr>
              <w:t>•  the cause, extent, and location of the July 13, 2024 hail damage to the windows and other exterior components of the Property, including components the appraisal panel did not evaluate;</w:t>
            </w:r>
          </w:p>
          <w:p>
            <w:pPr>
              <w:spacing w:after="80" w:before="0"/>
              <w:ind w:left="317" w:hanging="202"/>
            </w:pPr>
            <w:r>
              <w:rPr>
                <w:rFonts w:ascii="Times New Roman" w:hAnsi="Times New Roman"/>
                <w:b w:val="0"/>
                <w:i w:val="0"/>
                <w:sz w:val="21"/>
              </w:rPr>
              <w:t>•  the three inspections of the Property — by Hancock Claims Consultants (August 29, 2024), by Defendant's adjuster Nicholas Brau (September 6, 2024), and by Prieve Engineering (File #241008) — including their scope and methodology;</w:t>
            </w:r>
          </w:p>
          <w:p>
            <w:pPr>
              <w:spacing w:after="80" w:before="0"/>
              <w:ind w:left="317" w:hanging="202"/>
            </w:pPr>
            <w:r>
              <w:rPr>
                <w:rFonts w:ascii="Times New Roman" w:hAnsi="Times New Roman"/>
                <w:b w:val="0"/>
                <w:i w:val="0"/>
                <w:sz w:val="21"/>
              </w:rPr>
              <w:t>•  Defendant's handling of the claim and its denials of September 3 and November 4, 2024;</w:t>
            </w:r>
          </w:p>
          <w:p>
            <w:pPr>
              <w:spacing w:after="80" w:before="0"/>
              <w:ind w:left="317" w:hanging="202"/>
            </w:pPr>
            <w:r>
              <w:rPr>
                <w:rFonts w:ascii="Times New Roman" w:hAnsi="Times New Roman"/>
                <w:b w:val="0"/>
                <w:i w:val="0"/>
                <w:sz w:val="21"/>
              </w:rPr>
              <w:t>•  the 2020 claim and file, including the Xactimate estimate and photograph log;</w:t>
            </w:r>
          </w:p>
          <w:p>
            <w:pPr>
              <w:spacing w:after="80" w:before="0"/>
              <w:ind w:left="317" w:hanging="202"/>
            </w:pPr>
            <w:r>
              <w:rPr>
                <w:rFonts w:ascii="Times New Roman" w:hAnsi="Times New Roman"/>
                <w:b w:val="0"/>
                <w:i w:val="0"/>
                <w:sz w:val="21"/>
              </w:rPr>
              <w:t>•  the September 12, 2025 appraisal award, its scope and itemization, and the files of the appraisers and the umpire;</w:t>
            </w:r>
          </w:p>
          <w:p>
            <w:pPr>
              <w:spacing w:after="80" w:before="0"/>
              <w:ind w:left="317" w:hanging="202"/>
            </w:pPr>
            <w:r>
              <w:rPr>
                <w:rFonts w:ascii="Times New Roman" w:hAnsi="Times New Roman"/>
                <w:b w:val="0"/>
                <w:i w:val="0"/>
                <w:sz w:val="21"/>
              </w:rPr>
              <w:t>•  Defendant's internal communications and recorded calls concerning the claim and its handling;</w:t>
            </w:r>
          </w:p>
          <w:p>
            <w:pPr>
              <w:spacing w:after="80" w:before="0"/>
              <w:ind w:left="317" w:hanging="202"/>
            </w:pPr>
            <w:r>
              <w:rPr>
                <w:rFonts w:ascii="Times New Roman" w:hAnsi="Times New Roman"/>
                <w:b w:val="0"/>
                <w:i w:val="0"/>
                <w:sz w:val="21"/>
              </w:rPr>
              <w:t>•  Defendant's claims-handling policies, training, and procedures in effect since July 13, 2024, including its practice for reviewing and adopting third-party inspection and engineering reports;</w:t>
            </w:r>
          </w:p>
          <w:p>
            <w:pPr>
              <w:spacing w:after="80" w:before="0"/>
              <w:ind w:left="317" w:hanging="202"/>
            </w:pPr>
            <w:r>
              <w:rPr>
                <w:rFonts w:ascii="Times New Roman" w:hAnsi="Times New Roman"/>
                <w:b w:val="0"/>
                <w:i w:val="0"/>
                <w:sz w:val="21"/>
              </w:rPr>
              <w:t>•  Defendant's retention and oversight of its inspection and engineering vendors;</w:t>
            </w:r>
          </w:p>
          <w:p>
            <w:pPr>
              <w:spacing w:after="80" w:before="0"/>
              <w:ind w:left="317" w:hanging="202"/>
            </w:pPr>
            <w:r>
              <w:rPr>
                <w:rFonts w:ascii="Times New Roman" w:hAnsi="Times New Roman"/>
                <w:b w:val="0"/>
                <w:i w:val="0"/>
                <w:sz w:val="21"/>
              </w:rPr>
              <w:t>•  Defendant's claim-file audit trail and record-retention practices; and</w:t>
            </w:r>
          </w:p>
          <w:p>
            <w:pPr>
              <w:spacing w:after="80" w:before="0"/>
              <w:ind w:left="317" w:hanging="202"/>
            </w:pPr>
            <w:r>
              <w:rPr>
                <w:rFonts w:ascii="Times New Roman" w:hAnsi="Times New Roman"/>
                <w:b w:val="0"/>
                <w:i w:val="0"/>
                <w:sz w:val="21"/>
              </w:rPr>
              <w:t>•  Defendant's response to Plaintiffs' November 19, 2024 complaint to the Minnesota Department of Commerce (Complaint ID 93547).</w:t>
            </w:r>
          </w:p>
          <w:p>
            <w:pPr>
              <w:spacing w:after="80" w:before="0"/>
            </w:pPr>
            <w:r>
              <w:rPr>
                <w:rFonts w:ascii="Times New Roman" w:hAnsi="Times New Roman"/>
                <w:b w:val="0"/>
                <w:i w:val="0"/>
                <w:sz w:val="21"/>
              </w:rPr>
              <w:t>Discovery should not be conducted in phases or limited to particular issues, and fact discovery should precede expert discovery. The parties have not agreed on the date by which discovery should be completed; see paragraph 7.</w:t>
            </w:r>
          </w:p>
        </w:tc>
      </w:tr>
    </w:tbl>
    <w:p>
      <w:pPr>
        <w:spacing w:after="160" w:before="0"/>
      </w:pPr>
      <w:r>
        <w:rPr>
          <w:rFonts w:ascii="Times New Roman" w:hAnsi="Times New Roman"/>
          <w:b w:val="0"/>
          <w:i w:val="0"/>
          <w:sz w:val="24"/>
        </w:rPr>
      </w:r>
    </w:p>
    <w:p>
      <w:pPr>
        <w:spacing w:after="160" w:before="0"/>
      </w:pPr>
      <w:r>
        <w:rPr>
          <w:rFonts w:ascii="Times New Roman" w:hAnsi="Times New Roman"/>
          <w:b/>
          <w:i w:val="0"/>
          <w:sz w:val="24"/>
        </w:rPr>
        <w:t>3.  Any issues about disclosure or discovery of electronically stored information, including the form or forms in which it should be produced:</w:t>
      </w:r>
    </w:p>
    <w:tbl>
      <w:tblPr>
        <w:tblStyle w:val="TableGrid"/>
        <w:tblW w:type="auto" w:w="0"/>
        <w:jc w:val="center"/>
        <w:tblLook w:firstColumn="1" w:firstRow="1" w:lastColumn="0" w:lastRow="0" w:noHBand="0" w:noVBand="1" w:val="04A0"/>
      </w:tblPr>
      <w:tblGrid>
        <w:gridCol w:w="4680"/>
        <w:gridCol w:w="4680"/>
      </w:tblGrid>
      <w:tr>
        <w:tc>
          <w:tcPr>
            <w:tcW w:type="dxa" w:w="4680"/>
          </w:tcPr>
          <w:p>
            <w:pPr>
              <w:spacing w:after="80" w:before="0"/>
            </w:pPr>
            <w:r>
              <w:rPr>
                <w:rFonts w:ascii="Times New Roman" w:hAnsi="Times New Roman"/>
                <w:b/>
                <w:i w:val="0"/>
                <w:sz w:val="21"/>
              </w:rPr>
              <w:t>Defendant's August 27 draft</w:t>
            </w:r>
          </w:p>
        </w:tc>
        <w:tc>
          <w:tcPr>
            <w:tcW w:type="dxa" w:w="4680"/>
          </w:tcPr>
          <w:p>
            <w:pPr>
              <w:spacing w:after="80" w:before="0"/>
            </w:pPr>
            <w:r>
              <w:rPr>
                <w:rFonts w:ascii="Times New Roman" w:hAnsi="Times New Roman"/>
                <w:b/>
                <w:i w:val="0"/>
                <w:sz w:val="21"/>
              </w:rPr>
              <w:t>Plaintiffs' proposed text</w:t>
            </w:r>
          </w:p>
        </w:tc>
      </w:tr>
      <w:tr>
        <w:tc>
          <w:tcPr>
            <w:tcW w:type="dxa" w:w="4680"/>
          </w:tcPr>
          <w:p>
            <w:pPr>
              <w:spacing w:after="80" w:before="0"/>
            </w:pPr>
            <w:r>
              <w:rPr>
                <w:rFonts w:ascii="Times New Roman" w:hAnsi="Times New Roman"/>
                <w:b w:val="0"/>
                <w:i w:val="0"/>
                <w:sz w:val="21"/>
              </w:rPr>
              <w:t>The parties agree to retain any documents (including electronically stored information) that may be relevant and discoverable in the case. The parties have not identified any issues about disclosure or discovery of electronically stored information. The parties may meet in the future regarding such issues as the need arises.</w:t>
            </w:r>
          </w:p>
        </w:tc>
        <w:tc>
          <w:tcPr>
            <w:tcW w:type="dxa" w:w="4680"/>
          </w:tcPr>
          <w:p>
            <w:pPr>
              <w:spacing w:after="80" w:before="0"/>
            </w:pPr>
            <w:r>
              <w:rPr>
                <w:rFonts w:ascii="Times New Roman" w:hAnsi="Times New Roman"/>
                <w:b w:val="0"/>
                <w:i w:val="0"/>
                <w:sz w:val="21"/>
              </w:rPr>
              <w:t>The parties shall preserve all documents and electronically stored information that may be relevant and discoverable. ESI shall be produced in its native format with metadata intact, or in another reasonably usable form as the parties agree; the searchability and metadata of ESI shall not be degraded, and responsive ESI shall not be printed to image or flattened. This applies in particular to photographic image files — including the photographs generated at each of the three inspections of the Property — which shall be produced with their original metadata. The parties will confer on custodians and data sources as the need arises.</w:t>
            </w:r>
          </w:p>
        </w:tc>
      </w:tr>
    </w:tbl>
    <w:p>
      <w:pPr>
        <w:spacing w:after="160" w:before="0"/>
      </w:pPr>
      <w:r>
        <w:rPr>
          <w:rFonts w:ascii="Times New Roman" w:hAnsi="Times New Roman"/>
          <w:b w:val="0"/>
          <w:i w:val="0"/>
          <w:sz w:val="24"/>
        </w:rPr>
      </w:r>
    </w:p>
    <w:p>
      <w:pPr>
        <w:spacing w:after="160" w:before="0"/>
      </w:pPr>
      <w:r>
        <w:rPr>
          <w:rFonts w:ascii="Times New Roman" w:hAnsi="Times New Roman"/>
          <w:b/>
          <w:i w:val="0"/>
          <w:sz w:val="24"/>
        </w:rPr>
        <w:t>4.  Any issues about claims of privilege or of protection as trial-preparation materials, including — if the parties agree on a procedure to assert these claims after production — whether to ask the court to include their agreement in an order:</w:t>
      </w:r>
    </w:p>
    <w:tbl>
      <w:tblPr>
        <w:tblStyle w:val="TableGrid"/>
        <w:tblW w:type="auto" w:w="0"/>
        <w:jc w:val="center"/>
        <w:tblLook w:firstColumn="1" w:firstRow="1" w:lastColumn="0" w:lastRow="0" w:noHBand="0" w:noVBand="1" w:val="04A0"/>
      </w:tblPr>
      <w:tblGrid>
        <w:gridCol w:w="4680"/>
        <w:gridCol w:w="4680"/>
      </w:tblGrid>
      <w:tr>
        <w:tc>
          <w:tcPr>
            <w:tcW w:type="dxa" w:w="4680"/>
          </w:tcPr>
          <w:p>
            <w:pPr>
              <w:spacing w:after="80" w:before="0"/>
            </w:pPr>
            <w:r>
              <w:rPr>
                <w:rFonts w:ascii="Times New Roman" w:hAnsi="Times New Roman"/>
                <w:b/>
                <w:i w:val="0"/>
                <w:sz w:val="21"/>
              </w:rPr>
              <w:t>Defendant's August 27 draft</w:t>
            </w:r>
          </w:p>
        </w:tc>
        <w:tc>
          <w:tcPr>
            <w:tcW w:type="dxa" w:w="4680"/>
          </w:tcPr>
          <w:p>
            <w:pPr>
              <w:spacing w:after="80" w:before="0"/>
            </w:pPr>
            <w:r>
              <w:rPr>
                <w:rFonts w:ascii="Times New Roman" w:hAnsi="Times New Roman"/>
                <w:b/>
                <w:i w:val="0"/>
                <w:sz w:val="21"/>
              </w:rPr>
              <w:t>Plaintiffs' proposed text</w:t>
            </w:r>
          </w:p>
        </w:tc>
      </w:tr>
      <w:tr>
        <w:tc>
          <w:tcPr>
            <w:tcW w:type="dxa" w:w="4680"/>
          </w:tcPr>
          <w:p>
            <w:pPr>
              <w:spacing w:after="80" w:before="0"/>
            </w:pPr>
            <w:r>
              <w:rPr>
                <w:rFonts w:ascii="Times New Roman" w:hAnsi="Times New Roman"/>
                <w:b w:val="0"/>
                <w:i w:val="0"/>
                <w:sz w:val="21"/>
              </w:rPr>
              <w:t>The parties agree to follow Minnesota Rule of Civil Procedure 26 with respect to claims of privilege or protection of trial preparation materials.</w:t>
            </w:r>
          </w:p>
        </w:tc>
        <w:tc>
          <w:tcPr>
            <w:tcW w:type="dxa" w:w="4680"/>
          </w:tcPr>
          <w:p>
            <w:pPr>
              <w:spacing w:after="80" w:before="0"/>
            </w:pPr>
            <w:r>
              <w:rPr>
                <w:rFonts w:ascii="Times New Roman" w:hAnsi="Times New Roman"/>
                <w:b w:val="0"/>
                <w:i w:val="0"/>
                <w:sz w:val="21"/>
              </w:rPr>
              <w:t>The parties will follow Minn. R. Civ. P. 26 with respect to claims of privilege and protection of trial-preparation materials, including service of a privilege log under Rule 26.02(f). The parties will enter a non-waiver and claw-back agreement providing that inadvertent production does not waive privilege, and will ask the Court to enter that agreement as an order so that its protections bind non-parties.</w:t>
            </w:r>
          </w:p>
        </w:tc>
      </w:tr>
    </w:tbl>
    <w:p>
      <w:pPr>
        <w:spacing w:after="160" w:before="0"/>
      </w:pPr>
      <w:r>
        <w:rPr>
          <w:rFonts w:ascii="Times New Roman" w:hAnsi="Times New Roman"/>
          <w:b w:val="0"/>
          <w:i w:val="0"/>
          <w:sz w:val="24"/>
        </w:rPr>
      </w:r>
    </w:p>
    <w:p>
      <w:pPr>
        <w:spacing w:after="160" w:before="0"/>
      </w:pPr>
      <w:r>
        <w:rPr>
          <w:rFonts w:ascii="Times New Roman" w:hAnsi="Times New Roman"/>
          <w:b/>
          <w:i w:val="0"/>
          <w:sz w:val="24"/>
        </w:rPr>
        <w:t>5.  What changes should be made in the limitations on discovery imposed under these rules or by local rule, and what other limitations should be imposed:</w:t>
      </w:r>
    </w:p>
    <w:tbl>
      <w:tblPr>
        <w:tblStyle w:val="TableGrid"/>
        <w:tblW w:type="auto" w:w="0"/>
        <w:jc w:val="center"/>
        <w:tblLook w:firstColumn="1" w:firstRow="1" w:lastColumn="0" w:lastRow="0" w:noHBand="0" w:noVBand="1" w:val="04A0"/>
      </w:tblPr>
      <w:tblGrid>
        <w:gridCol w:w="4680"/>
        <w:gridCol w:w="4680"/>
      </w:tblGrid>
      <w:tr>
        <w:tc>
          <w:tcPr>
            <w:tcW w:type="dxa" w:w="4680"/>
          </w:tcPr>
          <w:p>
            <w:pPr>
              <w:spacing w:after="80" w:before="0"/>
            </w:pPr>
            <w:r>
              <w:rPr>
                <w:rFonts w:ascii="Times New Roman" w:hAnsi="Times New Roman"/>
                <w:b/>
                <w:i w:val="0"/>
                <w:sz w:val="21"/>
              </w:rPr>
              <w:t>Defendant's August 27 draft</w:t>
            </w:r>
          </w:p>
        </w:tc>
        <w:tc>
          <w:tcPr>
            <w:tcW w:type="dxa" w:w="4680"/>
          </w:tcPr>
          <w:p>
            <w:pPr>
              <w:spacing w:after="80" w:before="0"/>
            </w:pPr>
            <w:r>
              <w:rPr>
                <w:rFonts w:ascii="Times New Roman" w:hAnsi="Times New Roman"/>
                <w:b/>
                <w:i w:val="0"/>
                <w:sz w:val="21"/>
              </w:rPr>
              <w:t>Plaintiffs' proposed text</w:t>
            </w:r>
          </w:p>
        </w:tc>
      </w:tr>
      <w:tr>
        <w:tc>
          <w:tcPr>
            <w:tcW w:type="dxa" w:w="4680"/>
          </w:tcPr>
          <w:p>
            <w:pPr>
              <w:spacing w:after="80" w:before="0"/>
            </w:pPr>
            <w:r>
              <w:rPr>
                <w:rFonts w:ascii="Times New Roman" w:hAnsi="Times New Roman"/>
                <w:b w:val="0"/>
                <w:i w:val="0"/>
                <w:sz w:val="21"/>
              </w:rPr>
              <w:t>The parties do not recommend any limitations on discovery beyond those set forth in the Minnesota Rules of Civil Procedure.</w:t>
            </w:r>
          </w:p>
        </w:tc>
        <w:tc>
          <w:tcPr>
            <w:tcW w:type="dxa" w:w="4680"/>
          </w:tcPr>
          <w:p>
            <w:pPr>
              <w:spacing w:after="80" w:before="0"/>
            </w:pPr>
            <w:r>
              <w:rPr>
                <w:rFonts w:ascii="Times New Roman" w:hAnsi="Times New Roman"/>
                <w:b w:val="0"/>
                <w:i w:val="0"/>
                <w:sz w:val="21"/>
              </w:rPr>
              <w:t>The parties do not propose limitations on discovery beyond those set forth in the Minnesota Rules of Civil Procedure. The parties will confer on any adjustments the case may require, including additional deposition hours for organizational depositions under Rule 30.02(f).</w:t>
            </w:r>
          </w:p>
        </w:tc>
      </w:tr>
    </w:tbl>
    <w:p>
      <w:pPr>
        <w:spacing w:after="160" w:before="0"/>
      </w:pPr>
      <w:r>
        <w:rPr>
          <w:rFonts w:ascii="Times New Roman" w:hAnsi="Times New Roman"/>
          <w:b w:val="0"/>
          <w:i w:val="0"/>
          <w:sz w:val="24"/>
        </w:rPr>
      </w:r>
    </w:p>
    <w:p>
      <w:pPr>
        <w:spacing w:after="160" w:before="0"/>
      </w:pPr>
      <w:r>
        <w:rPr>
          <w:rFonts w:ascii="Times New Roman" w:hAnsi="Times New Roman"/>
          <w:b/>
          <w:i w:val="0"/>
          <w:sz w:val="24"/>
        </w:rPr>
        <w:t>6.  Confidentiality and protective order:</w:t>
      </w:r>
    </w:p>
    <w:tbl>
      <w:tblPr>
        <w:tblStyle w:val="TableGrid"/>
        <w:tblW w:type="auto" w:w="0"/>
        <w:jc w:val="center"/>
        <w:tblLook w:firstColumn="1" w:firstRow="1" w:lastColumn="0" w:lastRow="0" w:noHBand="0" w:noVBand="1" w:val="04A0"/>
      </w:tblPr>
      <w:tblGrid>
        <w:gridCol w:w="4680"/>
        <w:gridCol w:w="4680"/>
      </w:tblGrid>
      <w:tr>
        <w:tc>
          <w:tcPr>
            <w:tcW w:type="dxa" w:w="4680"/>
          </w:tcPr>
          <w:p>
            <w:pPr>
              <w:spacing w:after="80" w:before="0"/>
            </w:pPr>
            <w:r>
              <w:rPr>
                <w:rFonts w:ascii="Times New Roman" w:hAnsi="Times New Roman"/>
                <w:b/>
                <w:i w:val="0"/>
                <w:sz w:val="21"/>
              </w:rPr>
              <w:t>Defendant's August 27 draft</w:t>
            </w:r>
          </w:p>
        </w:tc>
        <w:tc>
          <w:tcPr>
            <w:tcW w:type="dxa" w:w="4680"/>
          </w:tcPr>
          <w:p>
            <w:pPr>
              <w:spacing w:after="80" w:before="0"/>
            </w:pPr>
            <w:r>
              <w:rPr>
                <w:rFonts w:ascii="Times New Roman" w:hAnsi="Times New Roman"/>
                <w:b/>
                <w:i w:val="0"/>
                <w:sz w:val="21"/>
              </w:rPr>
              <w:t>Plaintiffs' proposed text</w:t>
            </w:r>
          </w:p>
        </w:tc>
      </w:tr>
      <w:tr>
        <w:tc>
          <w:tcPr>
            <w:tcW w:type="dxa" w:w="4680"/>
          </w:tcPr>
          <w:p>
            <w:pPr>
              <w:spacing w:after="80" w:before="0"/>
            </w:pPr>
            <w:r>
              <w:rPr>
                <w:rFonts w:ascii="Times New Roman" w:hAnsi="Times New Roman"/>
                <w:b w:val="0"/>
                <w:i/>
                <w:sz w:val="21"/>
              </w:rPr>
              <w:t>[No provision proposed.]</w:t>
            </w:r>
          </w:p>
        </w:tc>
        <w:tc>
          <w:tcPr>
            <w:tcW w:type="dxa" w:w="4680"/>
          </w:tcPr>
          <w:p>
            <w:pPr>
              <w:spacing w:after="80" w:before="0"/>
            </w:pPr>
            <w:r>
              <w:rPr>
                <w:rFonts w:ascii="Times New Roman" w:hAnsi="Times New Roman"/>
                <w:b w:val="0"/>
                <w:i w:val="0"/>
                <w:sz w:val="21"/>
              </w:rPr>
              <w:t>The parties anticipate that Defendant may seek to designate portions of its claim file or business records as confidential, and that a stipulated protective order will be presented to the Court. The parties agree that any such order will provide for a single tier of protection (material designated CONFIDENTIAL) and will not include an “attorneys' eyes only” or other counsel-only tier, because Plaintiffs appear pro se and have no counsel of record. The order will permit disclosure of designated material to the persons customarily identified in such orders and, as to Plaintiffs, to Jeffrey Hu, who assists Plaintiffs in preparing this litigation, with each such person first signing a written undertaking to be bound by the order. Defendant, as the party seeking protection, will propose the form of order and Plaintiffs will respond promptly.</w:t>
            </w:r>
          </w:p>
        </w:tc>
      </w:tr>
    </w:tbl>
    <w:p>
      <w:pPr>
        <w:spacing w:after="160" w:before="0"/>
      </w:pPr>
      <w:r>
        <w:rPr>
          <w:rFonts w:ascii="Times New Roman" w:hAnsi="Times New Roman"/>
          <w:b w:val="0"/>
          <w:i w:val="0"/>
          <w:sz w:val="24"/>
        </w:rPr>
      </w:r>
    </w:p>
    <w:p>
      <w:pPr>
        <w:spacing w:after="160" w:before="0"/>
      </w:pPr>
      <w:r>
        <w:rPr>
          <w:rFonts w:ascii="Times New Roman" w:hAnsi="Times New Roman"/>
          <w:b/>
          <w:i w:val="0"/>
          <w:sz w:val="24"/>
        </w:rPr>
        <w:t>7.  Any order that the court should issue under Rule 16.02:</w:t>
      </w:r>
      <w:r>
        <w:rPr>
          <w:rFonts w:ascii="Times New Roman" w:hAnsi="Times New Roman"/>
          <w:b w:val="0"/>
          <w:i w:val="0"/>
          <w:sz w:val="24"/>
        </w:rPr>
        <w:t xml:space="preserve">  The parties have not agreed on the pretrial deadlines. Each party's proposal is set out below.</w:t>
      </w:r>
    </w:p>
    <w:tbl>
      <w:tblPr>
        <w:tblStyle w:val="TableGrid"/>
        <w:tblW w:type="auto" w:w="0"/>
        <w:jc w:val="center"/>
        <w:tblLook w:firstColumn="1" w:firstRow="1" w:lastColumn="0" w:lastRow="0" w:noHBand="0" w:noVBand="1" w:val="04A0"/>
      </w:tblPr>
      <w:tblGrid>
        <w:gridCol w:w="3120"/>
        <w:gridCol w:w="3120"/>
        <w:gridCol w:w="3120"/>
      </w:tblGrid>
      <w:tr>
        <w:tc>
          <w:tcPr>
            <w:tcW w:type="dxa" w:w="4176"/>
          </w:tcPr>
          <w:p>
            <w:pPr>
              <w:spacing w:after="40" w:before="40"/>
            </w:pPr>
            <w:r>
              <w:rPr>
                <w:rFonts w:ascii="Times New Roman" w:hAnsi="Times New Roman"/>
                <w:b/>
                <w:i w:val="0"/>
                <w:sz w:val="21"/>
              </w:rPr>
              <w:t>Event</w:t>
            </w:r>
          </w:p>
        </w:tc>
        <w:tc>
          <w:tcPr>
            <w:tcW w:type="dxa" w:w="2592"/>
          </w:tcPr>
          <w:p>
            <w:pPr>
              <w:spacing w:after="40" w:before="40"/>
            </w:pPr>
            <w:r>
              <w:rPr>
                <w:rFonts w:ascii="Times New Roman" w:hAnsi="Times New Roman"/>
                <w:b/>
                <w:i w:val="0"/>
                <w:sz w:val="21"/>
              </w:rPr>
              <w:t>Defendant proposes</w:t>
            </w:r>
          </w:p>
        </w:tc>
        <w:tc>
          <w:tcPr>
            <w:tcW w:type="dxa" w:w="2592"/>
          </w:tcPr>
          <w:p>
            <w:pPr>
              <w:spacing w:after="40" w:before="40"/>
            </w:pPr>
            <w:r>
              <w:rPr>
                <w:rFonts w:ascii="Times New Roman" w:hAnsi="Times New Roman"/>
                <w:b/>
                <w:i w:val="0"/>
                <w:sz w:val="21"/>
              </w:rPr>
              <w:t>Plaintiffs propose</w:t>
            </w:r>
          </w:p>
        </w:tc>
      </w:tr>
      <w:tr>
        <w:tc>
          <w:tcPr>
            <w:tcW w:type="dxa" w:w="4176"/>
          </w:tcPr>
          <w:p>
            <w:pPr>
              <w:spacing w:after="40" w:before="40"/>
            </w:pPr>
            <w:r>
              <w:rPr>
                <w:rFonts w:ascii="Times New Roman" w:hAnsi="Times New Roman"/>
                <w:b w:val="0"/>
                <w:i w:val="0"/>
                <w:sz w:val="21"/>
              </w:rPr>
              <w:t>Rule 26.01(a) initial disclosures</w:t>
            </w:r>
          </w:p>
        </w:tc>
        <w:tc>
          <w:tcPr>
            <w:tcW w:type="dxa" w:w="2592"/>
          </w:tcPr>
          <w:p>
            <w:pPr>
              <w:spacing w:after="40" w:before="40"/>
            </w:pPr>
            <w:r>
              <w:rPr>
                <w:rFonts w:ascii="Times New Roman" w:hAnsi="Times New Roman"/>
                <w:b w:val="0"/>
                <w:i w:val="0"/>
                <w:sz w:val="21"/>
              </w:rPr>
              <w:t>Sept. 25, 2026</w:t>
            </w:r>
          </w:p>
        </w:tc>
        <w:tc>
          <w:tcPr>
            <w:tcW w:type="dxa" w:w="2592"/>
          </w:tcPr>
          <w:p>
            <w:pPr>
              <w:spacing w:after="40" w:before="40"/>
            </w:pPr>
            <w:r>
              <w:rPr>
                <w:rFonts w:ascii="Times New Roman" w:hAnsi="Times New Roman"/>
                <w:b w:val="0"/>
                <w:i w:val="0"/>
                <w:sz w:val="21"/>
              </w:rPr>
              <w:t>Sept. 25, 2026 (agreed)</w:t>
            </w:r>
          </w:p>
        </w:tc>
      </w:tr>
      <w:tr>
        <w:tc>
          <w:tcPr>
            <w:tcW w:type="dxa" w:w="4176"/>
          </w:tcPr>
          <w:p>
            <w:pPr>
              <w:spacing w:after="40" w:before="40"/>
            </w:pPr>
            <w:r>
              <w:rPr>
                <w:rFonts w:ascii="Times New Roman" w:hAnsi="Times New Roman"/>
                <w:b w:val="0"/>
                <w:i w:val="0"/>
                <w:sz w:val="21"/>
              </w:rPr>
              <w:t>Substantial completion of document production</w:t>
            </w:r>
          </w:p>
        </w:tc>
        <w:tc>
          <w:tcPr>
            <w:tcW w:type="dxa" w:w="2592"/>
          </w:tcPr>
          <w:p>
            <w:pPr>
              <w:spacing w:after="40" w:before="40"/>
            </w:pPr>
            <w:r>
              <w:rPr>
                <w:rFonts w:ascii="Times New Roman" w:hAnsi="Times New Roman"/>
                <w:b w:val="0"/>
                <w:i w:val="0"/>
                <w:sz w:val="21"/>
              </w:rPr>
              <w:t>none proposed</w:t>
            </w:r>
          </w:p>
        </w:tc>
        <w:tc>
          <w:tcPr>
            <w:tcW w:type="dxa" w:w="2592"/>
          </w:tcPr>
          <w:p>
            <w:pPr>
              <w:spacing w:after="40" w:before="40"/>
            </w:pPr>
            <w:r>
              <w:rPr>
                <w:rFonts w:ascii="Times New Roman" w:hAnsi="Times New Roman"/>
                <w:b w:val="0"/>
                <w:i w:val="0"/>
                <w:sz w:val="21"/>
              </w:rPr>
              <w:t>Feb. 26, 2027</w:t>
            </w:r>
          </w:p>
        </w:tc>
      </w:tr>
      <w:tr>
        <w:tc>
          <w:tcPr>
            <w:tcW w:type="dxa" w:w="4176"/>
          </w:tcPr>
          <w:p>
            <w:pPr>
              <w:spacing w:after="40" w:before="40"/>
            </w:pPr>
            <w:r>
              <w:rPr>
                <w:rFonts w:ascii="Times New Roman" w:hAnsi="Times New Roman"/>
                <w:b w:val="0"/>
                <w:i w:val="0"/>
                <w:sz w:val="21"/>
              </w:rPr>
              <w:t>Deadline to join parties / amend pleadings</w:t>
            </w:r>
          </w:p>
        </w:tc>
        <w:tc>
          <w:tcPr>
            <w:tcW w:type="dxa" w:w="2592"/>
          </w:tcPr>
          <w:p>
            <w:pPr>
              <w:spacing w:after="40" w:before="40"/>
            </w:pPr>
            <w:r>
              <w:rPr>
                <w:rFonts w:ascii="Times New Roman" w:hAnsi="Times New Roman"/>
                <w:b w:val="0"/>
                <w:i w:val="0"/>
                <w:sz w:val="21"/>
              </w:rPr>
              <w:t>none proposed</w:t>
            </w:r>
          </w:p>
        </w:tc>
        <w:tc>
          <w:tcPr>
            <w:tcW w:type="dxa" w:w="2592"/>
          </w:tcPr>
          <w:p>
            <w:pPr>
              <w:spacing w:after="40" w:before="40"/>
            </w:pPr>
            <w:r>
              <w:rPr>
                <w:rFonts w:ascii="Times New Roman" w:hAnsi="Times New Roman"/>
                <w:b w:val="0"/>
                <w:i w:val="0"/>
                <w:sz w:val="21"/>
              </w:rPr>
              <w:t>Mar. 31, 2027</w:t>
            </w:r>
          </w:p>
        </w:tc>
      </w:tr>
      <w:tr>
        <w:tc>
          <w:tcPr>
            <w:tcW w:type="dxa" w:w="4176"/>
          </w:tcPr>
          <w:p>
            <w:pPr>
              <w:spacing w:after="40" w:before="40"/>
            </w:pPr>
            <w:r>
              <w:rPr>
                <w:rFonts w:ascii="Times New Roman" w:hAnsi="Times New Roman"/>
                <w:b w:val="0"/>
                <w:i w:val="0"/>
                <w:sz w:val="21"/>
              </w:rPr>
              <w:t>Close of fact discovery</w:t>
            </w:r>
          </w:p>
        </w:tc>
        <w:tc>
          <w:tcPr>
            <w:tcW w:type="dxa" w:w="2592"/>
          </w:tcPr>
          <w:p>
            <w:pPr>
              <w:spacing w:after="40" w:before="40"/>
            </w:pPr>
            <w:r>
              <w:rPr>
                <w:rFonts w:ascii="Times New Roman" w:hAnsi="Times New Roman"/>
                <w:b w:val="0"/>
                <w:i w:val="0"/>
                <w:sz w:val="21"/>
              </w:rPr>
              <w:t>Feb. 19, 2027</w:t>
            </w:r>
          </w:p>
        </w:tc>
        <w:tc>
          <w:tcPr>
            <w:tcW w:type="dxa" w:w="2592"/>
          </w:tcPr>
          <w:p>
            <w:pPr>
              <w:spacing w:after="40" w:before="40"/>
            </w:pPr>
            <w:r>
              <w:rPr>
                <w:rFonts w:ascii="Times New Roman" w:hAnsi="Times New Roman"/>
                <w:b w:val="0"/>
                <w:i w:val="0"/>
                <w:sz w:val="21"/>
              </w:rPr>
              <w:t>Aug. 31, 2027</w:t>
            </w:r>
          </w:p>
        </w:tc>
      </w:tr>
      <w:tr>
        <w:tc>
          <w:tcPr>
            <w:tcW w:type="dxa" w:w="4176"/>
          </w:tcPr>
          <w:p>
            <w:pPr>
              <w:spacing w:after="40" w:before="40"/>
            </w:pPr>
            <w:r>
              <w:rPr>
                <w:rFonts w:ascii="Times New Roman" w:hAnsi="Times New Roman"/>
                <w:b w:val="0"/>
                <w:i w:val="0"/>
                <w:sz w:val="21"/>
              </w:rPr>
              <w:t>ADR / mediation completed (Rule 114)</w:t>
            </w:r>
          </w:p>
        </w:tc>
        <w:tc>
          <w:tcPr>
            <w:tcW w:type="dxa" w:w="2592"/>
          </w:tcPr>
          <w:p>
            <w:pPr>
              <w:spacing w:after="40" w:before="40"/>
            </w:pPr>
            <w:r>
              <w:rPr>
                <w:rFonts w:ascii="Times New Roman" w:hAnsi="Times New Roman"/>
                <w:b w:val="0"/>
                <w:i w:val="0"/>
                <w:sz w:val="21"/>
              </w:rPr>
              <w:t>June 1, 2026 [confirm year]</w:t>
            </w:r>
          </w:p>
        </w:tc>
        <w:tc>
          <w:tcPr>
            <w:tcW w:type="dxa" w:w="2592"/>
          </w:tcPr>
          <w:p>
            <w:pPr>
              <w:spacing w:after="40" w:before="40"/>
            </w:pPr>
            <w:r>
              <w:rPr>
                <w:rFonts w:ascii="Times New Roman" w:hAnsi="Times New Roman"/>
                <w:b w:val="0"/>
                <w:i w:val="0"/>
                <w:sz w:val="21"/>
              </w:rPr>
              <w:t>Sept. 30, 2027</w:t>
            </w:r>
          </w:p>
        </w:tc>
      </w:tr>
      <w:tr>
        <w:tc>
          <w:tcPr>
            <w:tcW w:type="dxa" w:w="4176"/>
          </w:tcPr>
          <w:p>
            <w:pPr>
              <w:spacing w:after="40" w:before="40"/>
            </w:pPr>
            <w:r>
              <w:rPr>
                <w:rFonts w:ascii="Times New Roman" w:hAnsi="Times New Roman"/>
                <w:b w:val="0"/>
                <w:i w:val="0"/>
                <w:sz w:val="21"/>
              </w:rPr>
              <w:t>Plaintiffs' expert disclosures and reports</w:t>
            </w:r>
          </w:p>
        </w:tc>
        <w:tc>
          <w:tcPr>
            <w:tcW w:type="dxa" w:w="2592"/>
          </w:tcPr>
          <w:p>
            <w:pPr>
              <w:spacing w:after="40" w:before="40"/>
            </w:pPr>
            <w:r>
              <w:rPr>
                <w:rFonts w:ascii="Times New Roman" w:hAnsi="Times New Roman"/>
                <w:b w:val="0"/>
                <w:i w:val="0"/>
                <w:sz w:val="21"/>
              </w:rPr>
              <w:t>Mar. 15, 2027</w:t>
            </w:r>
          </w:p>
        </w:tc>
        <w:tc>
          <w:tcPr>
            <w:tcW w:type="dxa" w:w="2592"/>
          </w:tcPr>
          <w:p>
            <w:pPr>
              <w:spacing w:after="40" w:before="40"/>
            </w:pPr>
            <w:r>
              <w:rPr>
                <w:rFonts w:ascii="Times New Roman" w:hAnsi="Times New Roman"/>
                <w:b w:val="0"/>
                <w:i w:val="0"/>
                <w:sz w:val="21"/>
              </w:rPr>
              <w:t>Oct. 15, 2027</w:t>
            </w:r>
          </w:p>
        </w:tc>
      </w:tr>
      <w:tr>
        <w:tc>
          <w:tcPr>
            <w:tcW w:type="dxa" w:w="4176"/>
          </w:tcPr>
          <w:p>
            <w:pPr>
              <w:spacing w:after="40" w:before="40"/>
            </w:pPr>
            <w:r>
              <w:rPr>
                <w:rFonts w:ascii="Times New Roman" w:hAnsi="Times New Roman"/>
                <w:b w:val="0"/>
                <w:i w:val="0"/>
                <w:sz w:val="21"/>
              </w:rPr>
              <w:t>Non-dispositive motions heard by</w:t>
            </w:r>
          </w:p>
        </w:tc>
        <w:tc>
          <w:tcPr>
            <w:tcW w:type="dxa" w:w="2592"/>
          </w:tcPr>
          <w:p>
            <w:pPr>
              <w:spacing w:after="40" w:before="40"/>
            </w:pPr>
            <w:r>
              <w:rPr>
                <w:rFonts w:ascii="Times New Roman" w:hAnsi="Times New Roman"/>
                <w:b w:val="0"/>
                <w:i w:val="0"/>
                <w:sz w:val="21"/>
              </w:rPr>
              <w:t>Mar. 1, 2026 [confirm year]</w:t>
            </w:r>
          </w:p>
        </w:tc>
        <w:tc>
          <w:tcPr>
            <w:tcW w:type="dxa" w:w="2592"/>
          </w:tcPr>
          <w:p>
            <w:pPr>
              <w:spacing w:after="40" w:before="40"/>
            </w:pPr>
            <w:r>
              <w:rPr>
                <w:rFonts w:ascii="Times New Roman" w:hAnsi="Times New Roman"/>
                <w:b w:val="0"/>
                <w:i w:val="0"/>
                <w:sz w:val="21"/>
              </w:rPr>
              <w:t>Oct. 29, 2027</w:t>
            </w:r>
          </w:p>
        </w:tc>
      </w:tr>
      <w:tr>
        <w:tc>
          <w:tcPr>
            <w:tcW w:type="dxa" w:w="4176"/>
          </w:tcPr>
          <w:p>
            <w:pPr>
              <w:spacing w:after="40" w:before="40"/>
            </w:pPr>
            <w:r>
              <w:rPr>
                <w:rFonts w:ascii="Times New Roman" w:hAnsi="Times New Roman"/>
                <w:b w:val="0"/>
                <w:i w:val="0"/>
                <w:sz w:val="21"/>
              </w:rPr>
              <w:t>Deadline for Minn. Stat. § 604.18 motion to amend</w:t>
            </w:r>
          </w:p>
        </w:tc>
        <w:tc>
          <w:tcPr>
            <w:tcW w:type="dxa" w:w="2592"/>
          </w:tcPr>
          <w:p>
            <w:pPr>
              <w:spacing w:after="40" w:before="40"/>
            </w:pPr>
            <w:r>
              <w:rPr>
                <w:rFonts w:ascii="Times New Roman" w:hAnsi="Times New Roman"/>
                <w:b w:val="0"/>
                <w:i w:val="0"/>
                <w:sz w:val="21"/>
              </w:rPr>
              <w:t>none proposed</w:t>
            </w:r>
          </w:p>
        </w:tc>
        <w:tc>
          <w:tcPr>
            <w:tcW w:type="dxa" w:w="2592"/>
          </w:tcPr>
          <w:p>
            <w:pPr>
              <w:spacing w:after="40" w:before="40"/>
            </w:pPr>
            <w:r>
              <w:rPr>
                <w:rFonts w:ascii="Times New Roman" w:hAnsi="Times New Roman"/>
                <w:b w:val="0"/>
                <w:i w:val="0"/>
                <w:sz w:val="21"/>
              </w:rPr>
              <w:t>Nov. 30, 2027</w:t>
            </w:r>
          </w:p>
        </w:tc>
      </w:tr>
      <w:tr>
        <w:tc>
          <w:tcPr>
            <w:tcW w:type="dxa" w:w="4176"/>
          </w:tcPr>
          <w:p>
            <w:pPr>
              <w:spacing w:after="40" w:before="40"/>
            </w:pPr>
            <w:r>
              <w:rPr>
                <w:rFonts w:ascii="Times New Roman" w:hAnsi="Times New Roman"/>
                <w:b w:val="0"/>
                <w:i w:val="0"/>
                <w:sz w:val="21"/>
              </w:rPr>
              <w:t>Defendant's expert disclosures and reports</w:t>
            </w:r>
          </w:p>
        </w:tc>
        <w:tc>
          <w:tcPr>
            <w:tcW w:type="dxa" w:w="2592"/>
          </w:tcPr>
          <w:p>
            <w:pPr>
              <w:spacing w:after="40" w:before="40"/>
            </w:pPr>
            <w:r>
              <w:rPr>
                <w:rFonts w:ascii="Times New Roman" w:hAnsi="Times New Roman"/>
                <w:b w:val="0"/>
                <w:i w:val="0"/>
                <w:sz w:val="21"/>
              </w:rPr>
              <w:t>Apr. 17, 2027</w:t>
            </w:r>
          </w:p>
        </w:tc>
        <w:tc>
          <w:tcPr>
            <w:tcW w:type="dxa" w:w="2592"/>
          </w:tcPr>
          <w:p>
            <w:pPr>
              <w:spacing w:after="40" w:before="40"/>
            </w:pPr>
            <w:r>
              <w:rPr>
                <w:rFonts w:ascii="Times New Roman" w:hAnsi="Times New Roman"/>
                <w:b w:val="0"/>
                <w:i w:val="0"/>
                <w:sz w:val="21"/>
              </w:rPr>
              <w:t>Nov. 30, 2027</w:t>
            </w:r>
          </w:p>
        </w:tc>
      </w:tr>
      <w:tr>
        <w:tc>
          <w:tcPr>
            <w:tcW w:type="dxa" w:w="4176"/>
          </w:tcPr>
          <w:p>
            <w:pPr>
              <w:spacing w:after="40" w:before="40"/>
            </w:pPr>
            <w:r>
              <w:rPr>
                <w:rFonts w:ascii="Times New Roman" w:hAnsi="Times New Roman"/>
                <w:b w:val="0"/>
                <w:i w:val="0"/>
                <w:sz w:val="21"/>
              </w:rPr>
              <w:t>Rebuttal expert disclosures and reports</w:t>
            </w:r>
          </w:p>
        </w:tc>
        <w:tc>
          <w:tcPr>
            <w:tcW w:type="dxa" w:w="2592"/>
          </w:tcPr>
          <w:p>
            <w:pPr>
              <w:spacing w:after="40" w:before="40"/>
            </w:pPr>
            <w:r>
              <w:rPr>
                <w:rFonts w:ascii="Times New Roman" w:hAnsi="Times New Roman"/>
                <w:b w:val="0"/>
                <w:i w:val="0"/>
                <w:sz w:val="21"/>
              </w:rPr>
              <w:t>May 14, 2027</w:t>
            </w:r>
          </w:p>
        </w:tc>
        <w:tc>
          <w:tcPr>
            <w:tcW w:type="dxa" w:w="2592"/>
          </w:tcPr>
          <w:p>
            <w:pPr>
              <w:spacing w:after="40" w:before="40"/>
            </w:pPr>
            <w:r>
              <w:rPr>
                <w:rFonts w:ascii="Times New Roman" w:hAnsi="Times New Roman"/>
                <w:b w:val="0"/>
                <w:i w:val="0"/>
                <w:sz w:val="21"/>
              </w:rPr>
              <w:t>Dec. 22, 2027</w:t>
            </w:r>
          </w:p>
        </w:tc>
      </w:tr>
      <w:tr>
        <w:tc>
          <w:tcPr>
            <w:tcW w:type="dxa" w:w="4176"/>
          </w:tcPr>
          <w:p>
            <w:pPr>
              <w:spacing w:after="40" w:before="40"/>
            </w:pPr>
            <w:r>
              <w:rPr>
                <w:rFonts w:ascii="Times New Roman" w:hAnsi="Times New Roman"/>
                <w:b w:val="0"/>
                <w:i w:val="0"/>
                <w:sz w:val="21"/>
              </w:rPr>
              <w:t>Close of expert discovery</w:t>
            </w:r>
          </w:p>
        </w:tc>
        <w:tc>
          <w:tcPr>
            <w:tcW w:type="dxa" w:w="2592"/>
          </w:tcPr>
          <w:p>
            <w:pPr>
              <w:spacing w:after="40" w:before="40"/>
            </w:pPr>
            <w:r>
              <w:rPr>
                <w:rFonts w:ascii="Times New Roman" w:hAnsi="Times New Roman"/>
                <w:b w:val="0"/>
                <w:i w:val="0"/>
                <w:sz w:val="21"/>
              </w:rPr>
              <w:t>none proposed</w:t>
            </w:r>
          </w:p>
        </w:tc>
        <w:tc>
          <w:tcPr>
            <w:tcW w:type="dxa" w:w="2592"/>
          </w:tcPr>
          <w:p>
            <w:pPr>
              <w:spacing w:after="40" w:before="40"/>
            </w:pPr>
            <w:r>
              <w:rPr>
                <w:rFonts w:ascii="Times New Roman" w:hAnsi="Times New Roman"/>
                <w:b w:val="0"/>
                <w:i w:val="0"/>
                <w:sz w:val="21"/>
              </w:rPr>
              <w:t>Jan. 31, 2028</w:t>
            </w:r>
          </w:p>
        </w:tc>
      </w:tr>
      <w:tr>
        <w:tc>
          <w:tcPr>
            <w:tcW w:type="dxa" w:w="4176"/>
          </w:tcPr>
          <w:p>
            <w:pPr>
              <w:spacing w:after="40" w:before="40"/>
            </w:pPr>
            <w:r>
              <w:rPr>
                <w:rFonts w:ascii="Times New Roman" w:hAnsi="Times New Roman"/>
                <w:b w:val="0"/>
                <w:i w:val="0"/>
                <w:sz w:val="21"/>
              </w:rPr>
              <w:t>Dispositive motions heard by</w:t>
            </w:r>
          </w:p>
        </w:tc>
        <w:tc>
          <w:tcPr>
            <w:tcW w:type="dxa" w:w="2592"/>
          </w:tcPr>
          <w:p>
            <w:pPr>
              <w:spacing w:after="40" w:before="40"/>
            </w:pPr>
            <w:r>
              <w:rPr>
                <w:rFonts w:ascii="Times New Roman" w:hAnsi="Times New Roman"/>
                <w:b w:val="0"/>
                <w:i w:val="0"/>
                <w:sz w:val="21"/>
              </w:rPr>
              <w:t>Apr. 16, 2027</w:t>
            </w:r>
          </w:p>
        </w:tc>
        <w:tc>
          <w:tcPr>
            <w:tcW w:type="dxa" w:w="2592"/>
          </w:tcPr>
          <w:p>
            <w:pPr>
              <w:spacing w:after="40" w:before="40"/>
            </w:pPr>
            <w:r>
              <w:rPr>
                <w:rFonts w:ascii="Times New Roman" w:hAnsi="Times New Roman"/>
                <w:b w:val="0"/>
                <w:i w:val="0"/>
                <w:sz w:val="21"/>
              </w:rPr>
              <w:t>Mar. 15, 2028</w:t>
            </w:r>
          </w:p>
        </w:tc>
      </w:tr>
      <w:tr>
        <w:tc>
          <w:tcPr>
            <w:tcW w:type="dxa" w:w="4176"/>
          </w:tcPr>
          <w:p>
            <w:pPr>
              <w:spacing w:after="40" w:before="40"/>
            </w:pPr>
            <w:r>
              <w:rPr>
                <w:rFonts w:ascii="Times New Roman" w:hAnsi="Times New Roman"/>
                <w:b w:val="0"/>
                <w:i w:val="0"/>
                <w:sz w:val="21"/>
              </w:rPr>
              <w:t>Pretrial conference</w:t>
            </w:r>
          </w:p>
        </w:tc>
        <w:tc>
          <w:tcPr>
            <w:tcW w:type="dxa" w:w="2592"/>
          </w:tcPr>
          <w:p>
            <w:pPr>
              <w:spacing w:after="40" w:before="40"/>
            </w:pPr>
            <w:r>
              <w:rPr>
                <w:rFonts w:ascii="Times New Roman" w:hAnsi="Times New Roman"/>
                <w:b w:val="0"/>
                <w:i w:val="0"/>
                <w:sz w:val="21"/>
              </w:rPr>
              <w:t>Aug. 11, 2027</w:t>
            </w:r>
          </w:p>
        </w:tc>
        <w:tc>
          <w:tcPr>
            <w:tcW w:type="dxa" w:w="2592"/>
          </w:tcPr>
          <w:p>
            <w:pPr>
              <w:spacing w:after="40" w:before="40"/>
            </w:pPr>
            <w:r>
              <w:rPr>
                <w:rFonts w:ascii="Times New Roman" w:hAnsi="Times New Roman"/>
                <w:b w:val="0"/>
                <w:i w:val="0"/>
                <w:sz w:val="21"/>
              </w:rPr>
              <w:t>none proposed</w:t>
            </w:r>
          </w:p>
        </w:tc>
      </w:tr>
      <w:tr>
        <w:tc>
          <w:tcPr>
            <w:tcW w:type="dxa" w:w="4176"/>
          </w:tcPr>
          <w:p>
            <w:pPr>
              <w:spacing w:after="40" w:before="40"/>
            </w:pPr>
            <w:r>
              <w:rPr>
                <w:rFonts w:ascii="Times New Roman" w:hAnsi="Times New Roman"/>
                <w:b w:val="0"/>
                <w:i w:val="0"/>
                <w:sz w:val="21"/>
              </w:rPr>
              <w:t>Trial-ready date</w:t>
            </w:r>
          </w:p>
        </w:tc>
        <w:tc>
          <w:tcPr>
            <w:tcW w:type="dxa" w:w="2592"/>
          </w:tcPr>
          <w:p>
            <w:pPr>
              <w:spacing w:after="40" w:before="40"/>
            </w:pPr>
            <w:r>
              <w:rPr>
                <w:rFonts w:ascii="Times New Roman" w:hAnsi="Times New Roman"/>
                <w:b w:val="0"/>
                <w:i w:val="0"/>
                <w:sz w:val="21"/>
              </w:rPr>
              <w:t>Sept. 1, 2027</w:t>
            </w:r>
          </w:p>
        </w:tc>
        <w:tc>
          <w:tcPr>
            <w:tcW w:type="dxa" w:w="2592"/>
          </w:tcPr>
          <w:p>
            <w:pPr>
              <w:spacing w:after="40" w:before="40"/>
            </w:pPr>
            <w:r>
              <w:rPr>
                <w:rFonts w:ascii="Times New Roman" w:hAnsi="Times New Roman"/>
                <w:b w:val="0"/>
                <w:i w:val="0"/>
                <w:sz w:val="21"/>
              </w:rPr>
              <w:t>April 2028</w:t>
            </w:r>
          </w:p>
        </w:tc>
      </w:tr>
    </w:tbl>
    <w:p>
      <w:pPr>
        <w:spacing w:after="160" w:before="0"/>
      </w:pPr>
      <w:r>
        <w:rPr>
          <w:rFonts w:ascii="Times New Roman" w:hAnsi="Times New Roman"/>
          <w:b w:val="0"/>
          <w:i w:val="0"/>
          <w:sz w:val="24"/>
        </w:rPr>
      </w:r>
    </w:p>
    <w:p>
      <w:pPr>
        <w:spacing w:after="160" w:before="0"/>
      </w:pPr>
      <w:r>
        <w:rPr>
          <w:rFonts w:ascii="Times New Roman" w:hAnsi="Times New Roman"/>
          <w:b/>
          <w:i w:val="0"/>
          <w:sz w:val="24"/>
        </w:rPr>
        <w:t>Defendant's position on the schedule.</w:t>
      </w:r>
      <w:r>
        <w:rPr>
          <w:rFonts w:ascii="Times New Roman" w:hAnsi="Times New Roman"/>
          <w:b w:val="0"/>
          <w:i/>
          <w:sz w:val="24"/>
        </w:rPr>
        <w:t xml:space="preserve">  [Defendant to supply.]</w:t>
      </w:r>
    </w:p>
    <w:p>
      <w:pPr>
        <w:spacing w:after="240" w:before="0"/>
      </w:pPr>
      <w:r>
        <w:rPr>
          <w:rFonts w:ascii="Times New Roman" w:hAnsi="Times New Roman"/>
          <w:b/>
          <w:i w:val="0"/>
          <w:sz w:val="24"/>
        </w:rPr>
        <w:t>Plaintiffs' position on the schedule.</w:t>
      </w:r>
      <w:r>
        <w:rPr>
          <w:rFonts w:ascii="Times New Roman" w:hAnsi="Times New Roman"/>
          <w:b w:val="0"/>
          <w:i w:val="0"/>
          <w:sz w:val="24"/>
        </w:rPr>
        <w:t xml:space="preserve">  This is a document-intensive first-party insurance case: a multi-year claim file spanning two claims, three separate inspections by two outside firms, non-party discovery from those firms and from the members of the appraisal panel, and competing expert causation testimony. Certain information Plaintiffs sought during the claim process — the damage locations from the 2020 claim, the records of the September 6, 2024 inspection, and the identification of the windows covered by the September 12, 2025 award — was not provided or was described inconsistently, and resolving those questions will require written discovery, a documented custodial search, and an organizational deposition under Rule 30.02(f) that cannot be scheduled until that search is complete. Plaintiffs further propose (a) a date certain for substantial completion of document production, so that depositions and non-party discovery may be scheduled against a settled record; (b) a deadline to join parties or amend pleadings falling after that date, because Defendant's first affirmative defense contests its identity as the proper party and the documents bearing on that question are within Defendant's production; (c) a separate, later deadline for a motion under Minn. Stat. § 604.18, which by statute may not be pleaded in the original complaint and requires a prima facie showing drawn from the discovery record; and (d) that dispositive motions be heard after the close of expert discovery, so that neither party must brief summary judgment on an incomplete expert record.</w:t>
      </w:r>
    </w:p>
    <w:p>
      <w:pPr>
        <w:spacing w:after="160" w:before="0"/>
      </w:pPr>
      <w:r>
        <w:rPr>
          <w:rFonts w:ascii="Times New Roman" w:hAnsi="Times New Roman"/>
          <w:b/>
          <w:i w:val="0"/>
          <w:sz w:val="24"/>
        </w:rPr>
        <w:t>8.  Additional information for the Court's scheduling order:</w:t>
      </w:r>
    </w:p>
    <w:tbl>
      <w:tblPr>
        <w:tblStyle w:val="TableGrid"/>
        <w:tblW w:type="auto" w:w="0"/>
        <w:jc w:val="center"/>
        <w:tblLook w:firstColumn="1" w:firstRow="1" w:lastColumn="0" w:lastRow="0" w:noHBand="0" w:noVBand="1" w:val="04A0"/>
      </w:tblPr>
      <w:tblGrid>
        <w:gridCol w:w="4680"/>
        <w:gridCol w:w="4680"/>
      </w:tblGrid>
      <w:tr>
        <w:tc>
          <w:tcPr>
            <w:tcW w:type="dxa" w:w="4680"/>
          </w:tcPr>
          <w:p>
            <w:pPr>
              <w:spacing w:after="80" w:before="0"/>
            </w:pPr>
            <w:r>
              <w:rPr>
                <w:rFonts w:ascii="Times New Roman" w:hAnsi="Times New Roman"/>
                <w:b/>
                <w:i w:val="0"/>
                <w:sz w:val="21"/>
              </w:rPr>
              <w:t>Defendant's August 27 draft</w:t>
            </w:r>
          </w:p>
        </w:tc>
        <w:tc>
          <w:tcPr>
            <w:tcW w:type="dxa" w:w="4680"/>
          </w:tcPr>
          <w:p>
            <w:pPr>
              <w:spacing w:after="80" w:before="0"/>
            </w:pPr>
            <w:r>
              <w:rPr>
                <w:rFonts w:ascii="Times New Roman" w:hAnsi="Times New Roman"/>
                <w:b/>
                <w:i w:val="0"/>
                <w:sz w:val="21"/>
              </w:rPr>
              <w:t>Plaintiffs' proposed text</w:t>
            </w:r>
          </w:p>
        </w:tc>
      </w:tr>
      <w:tr>
        <w:tc>
          <w:tcPr>
            <w:tcW w:type="dxa" w:w="4680"/>
          </w:tcPr>
          <w:p>
            <w:pPr>
              <w:spacing w:after="80" w:before="0"/>
            </w:pPr>
            <w:r>
              <w:rPr>
                <w:rFonts w:ascii="Times New Roman" w:hAnsi="Times New Roman"/>
                <w:b w:val="0"/>
                <w:i/>
                <w:sz w:val="21"/>
              </w:rPr>
              <w:t>[No provision proposed.]</w:t>
            </w:r>
          </w:p>
        </w:tc>
        <w:tc>
          <w:tcPr>
            <w:tcW w:type="dxa" w:w="4680"/>
          </w:tcPr>
          <w:p>
            <w:pPr>
              <w:spacing w:after="80" w:before="0"/>
            </w:pPr>
            <w:r>
              <w:rPr>
                <w:rFonts w:ascii="Times New Roman" w:hAnsi="Times New Roman"/>
                <w:b w:val="0"/>
                <w:i w:val="0"/>
                <w:sz w:val="21"/>
              </w:rPr>
              <w:t>Jury or court trial: Jury trial. Both parties have demanded a jury.</w:t>
            </w:r>
          </w:p>
          <w:p>
            <w:pPr>
              <w:spacing w:after="80" w:before="0"/>
            </w:pPr>
            <w:r>
              <w:rPr>
                <w:rFonts w:ascii="Times New Roman" w:hAnsi="Times New Roman"/>
                <w:b w:val="0"/>
                <w:i w:val="0"/>
                <w:sz w:val="21"/>
              </w:rPr>
              <w:t>Alternative dispute resolution (Rule 114): The parties propose non-binding mediation, the neutral to be selected by agreement or, failing agreement, appointed by the Court.</w:t>
            </w:r>
          </w:p>
          <w:p>
            <w:pPr>
              <w:spacing w:after="80" w:before="0"/>
            </w:pPr>
            <w:r>
              <w:rPr>
                <w:rFonts w:ascii="Times New Roman" w:hAnsi="Times New Roman"/>
                <w:b w:val="0"/>
                <w:i w:val="0"/>
                <w:sz w:val="21"/>
              </w:rPr>
              <w:t>Estimated trial length: Approximately 4–5 trial days.</w:t>
            </w:r>
          </w:p>
          <w:p>
            <w:pPr>
              <w:spacing w:after="80" w:before="0"/>
            </w:pPr>
            <w:r>
              <w:rPr>
                <w:rFonts w:ascii="Times New Roman" w:hAnsi="Times New Roman"/>
                <w:b w:val="0"/>
                <w:i w:val="0"/>
                <w:sz w:val="21"/>
              </w:rPr>
              <w:t>Related cases: None.</w:t>
            </w:r>
          </w:p>
        </w:tc>
      </w:tr>
    </w:tbl>
    <w:p>
      <w:pPr>
        <w:spacing w:after="160" w:before="0"/>
      </w:pPr>
      <w:r>
        <w:rPr>
          <w:rFonts w:ascii="Times New Roman" w:hAnsi="Times New Roman"/>
          <w:b w:val="0"/>
          <w:i w:val="0"/>
          <w:sz w:val="24"/>
        </w:rPr>
      </w:r>
    </w:p>
    <w:p>
      <w:pPr>
        <w:spacing w:after="200" w:before="0"/>
      </w:pPr>
      <w:r>
        <w:rPr>
          <w:rFonts w:ascii="Times New Roman" w:hAnsi="Times New Roman"/>
          <w:b w:val="0"/>
          <w:i w:val="0"/>
          <w:sz w:val="24"/>
        </w:rPr>
      </w:r>
    </w:p>
    <w:tbl>
      <w:tblPr>
        <w:tblW w:type="auto" w:w="0"/>
        <w:tblLayout w:type="fixed"/>
        <w:tblLook w:firstColumn="1" w:firstRow="1" w:lastColumn="0" w:lastRow="0" w:noHBand="0" w:noVBand="1" w:val="04A0"/>
      </w:tblPr>
      <w:tblGrid>
        <w:gridCol w:w="4680"/>
        <w:gridCol w:w="4680"/>
      </w:tblGrid>
      <w:tr>
        <w:tc>
          <w:tcPr>
            <w:tcW w:type="dxa" w:w="4680"/>
          </w:tcPr>
          <w:p>
            <w:pPr>
              <w:spacing w:after="0"/>
            </w:pPr>
            <w:r>
              <w:rPr>
                <w:rFonts w:ascii="Times New Roman" w:hAnsi="Times New Roman"/>
                <w:b w:val="0"/>
                <w:i w:val="0"/>
                <w:sz w:val="22"/>
              </w:rPr>
              <w:t>Dated: ______________</w:t>
            </w:r>
          </w:p>
          <w:p>
            <w:pPr>
              <w:spacing w:after="0"/>
            </w:pPr>
            <w:r>
              <w:rPr>
                <w:rFonts w:ascii="Times New Roman" w:hAnsi="Times New Roman"/>
                <w:b w:val="0"/>
                <w:i w:val="0"/>
                <w:sz w:val="22"/>
              </w:rPr>
            </w:r>
          </w:p>
          <w:p>
            <w:pPr>
              <w:spacing w:after="0"/>
            </w:pPr>
            <w:r>
              <w:rPr>
                <w:rFonts w:ascii="Times New Roman" w:hAnsi="Times New Roman"/>
                <w:b w:val="0"/>
                <w:i w:val="0"/>
                <w:sz w:val="22"/>
              </w:rPr>
              <w:t>KENNEDY LAW FIRM P.C.</w:t>
            </w:r>
          </w:p>
          <w:p>
            <w:pPr>
              <w:spacing w:after="0"/>
            </w:pPr>
            <w:r>
              <w:rPr>
                <w:rFonts w:ascii="Times New Roman" w:hAnsi="Times New Roman"/>
                <w:b w:val="0"/>
                <w:i w:val="0"/>
                <w:sz w:val="22"/>
              </w:rPr>
            </w:r>
          </w:p>
          <w:p>
            <w:pPr>
              <w:spacing w:after="0"/>
            </w:pPr>
            <w:r>
              <w:rPr>
                <w:rFonts w:ascii="Times New Roman" w:hAnsi="Times New Roman"/>
                <w:b w:val="0"/>
                <w:i w:val="0"/>
                <w:sz w:val="22"/>
              </w:rPr>
            </w:r>
          </w:p>
          <w:p>
            <w:pPr>
              <w:spacing w:after="0"/>
            </w:pPr>
            <w:r>
              <w:rPr>
                <w:rFonts w:ascii="Times New Roman" w:hAnsi="Times New Roman"/>
                <w:b w:val="0"/>
                <w:i w:val="0"/>
                <w:sz w:val="22"/>
              </w:rPr>
              <w:t>/s/ ____________________________</w:t>
            </w:r>
          </w:p>
          <w:p>
            <w:pPr>
              <w:spacing w:after="0"/>
            </w:pPr>
            <w:r>
              <w:rPr>
                <w:rFonts w:ascii="Times New Roman" w:hAnsi="Times New Roman"/>
                <w:b w:val="0"/>
                <w:i w:val="0"/>
                <w:sz w:val="22"/>
              </w:rPr>
              <w:t>Mary J. Baskfield (#314572)</w:t>
            </w:r>
          </w:p>
          <w:p>
            <w:pPr>
              <w:spacing w:after="0"/>
            </w:pPr>
            <w:r>
              <w:rPr>
                <w:rFonts w:ascii="Times New Roman" w:hAnsi="Times New Roman"/>
                <w:b w:val="0"/>
                <w:i w:val="0"/>
                <w:sz w:val="22"/>
              </w:rPr>
              <w:t>7616 Currell Blvd., Suite 270</w:t>
            </w:r>
          </w:p>
          <w:p>
            <w:pPr>
              <w:spacing w:after="0"/>
            </w:pPr>
            <w:r>
              <w:rPr>
                <w:rFonts w:ascii="Times New Roman" w:hAnsi="Times New Roman"/>
                <w:b w:val="0"/>
                <w:i w:val="0"/>
                <w:sz w:val="22"/>
              </w:rPr>
              <w:t>Woodbury, MN 55125</w:t>
            </w:r>
          </w:p>
          <w:p>
            <w:pPr>
              <w:spacing w:after="0"/>
            </w:pPr>
            <w:r>
              <w:rPr>
                <w:rFonts w:ascii="Times New Roman" w:hAnsi="Times New Roman"/>
                <w:b w:val="0"/>
                <w:i w:val="0"/>
                <w:sz w:val="22"/>
              </w:rPr>
              <w:t>(651) 256-5001</w:t>
            </w:r>
          </w:p>
          <w:p>
            <w:pPr>
              <w:spacing w:after="0"/>
            </w:pPr>
            <w:r>
              <w:rPr>
                <w:rFonts w:ascii="Times New Roman" w:hAnsi="Times New Roman"/>
                <w:b w:val="0"/>
                <w:i w:val="0"/>
                <w:sz w:val="22"/>
              </w:rPr>
              <w:t>mbaskfield@kennedylf.com</w:t>
            </w:r>
          </w:p>
          <w:p>
            <w:pPr>
              <w:spacing w:after="0"/>
            </w:pPr>
            <w:r>
              <w:rPr>
                <w:rFonts w:ascii="Times New Roman" w:hAnsi="Times New Roman"/>
                <w:b w:val="0"/>
                <w:i w:val="0"/>
                <w:sz w:val="22"/>
              </w:rPr>
              <w:t>ATTORNEYS FOR DEFENDANT</w:t>
            </w:r>
          </w:p>
        </w:tc>
        <w:tc>
          <w:tcPr>
            <w:tcW w:type="dxa" w:w="4680"/>
          </w:tcPr>
          <w:p>
            <w:pPr>
              <w:spacing w:after="0"/>
            </w:pPr>
            <w:r>
              <w:rPr>
                <w:rFonts w:ascii="Times New Roman" w:hAnsi="Times New Roman"/>
                <w:b w:val="0"/>
                <w:i w:val="0"/>
                <w:sz w:val="22"/>
              </w:rPr>
              <w:t>Dated: ______________</w:t>
            </w:r>
          </w:p>
          <w:p>
            <w:pPr>
              <w:spacing w:after="0"/>
            </w:pPr>
            <w:r>
              <w:rPr>
                <w:rFonts w:ascii="Times New Roman" w:hAnsi="Times New Roman"/>
                <w:b w:val="0"/>
                <w:i w:val="0"/>
                <w:sz w:val="22"/>
              </w:rPr>
            </w:r>
          </w:p>
          <w:p>
            <w:pPr>
              <w:spacing w:after="0"/>
            </w:pPr>
            <w:r>
              <w:rPr>
                <w:rFonts w:ascii="Times New Roman" w:hAnsi="Times New Roman"/>
                <w:b w:val="0"/>
                <w:i w:val="0"/>
                <w:sz w:val="22"/>
              </w:rPr>
            </w:r>
          </w:p>
          <w:p>
            <w:pPr>
              <w:spacing w:after="0"/>
            </w:pPr>
            <w:r>
              <w:rPr>
                <w:rFonts w:ascii="Times New Roman" w:hAnsi="Times New Roman"/>
                <w:b w:val="0"/>
                <w:i w:val="0"/>
                <w:sz w:val="22"/>
              </w:rPr>
            </w:r>
          </w:p>
          <w:p>
            <w:pPr>
              <w:spacing w:after="0"/>
            </w:pPr>
            <w:r>
              <w:rPr>
                <w:rFonts w:ascii="Times New Roman" w:hAnsi="Times New Roman"/>
                <w:b w:val="0"/>
                <w:i w:val="0"/>
                <w:sz w:val="22"/>
              </w:rPr>
            </w:r>
          </w:p>
          <w:p>
            <w:pPr>
              <w:spacing w:after="0"/>
            </w:pPr>
            <w:r>
              <w:rPr>
                <w:rFonts w:ascii="Times New Roman" w:hAnsi="Times New Roman"/>
                <w:b w:val="0"/>
                <w:i w:val="0"/>
                <w:sz w:val="22"/>
              </w:rPr>
              <w:t>/s/ ____________________________</w:t>
            </w:r>
          </w:p>
          <w:p>
            <w:pPr>
              <w:spacing w:after="0"/>
            </w:pPr>
            <w:r>
              <w:rPr>
                <w:rFonts w:ascii="Times New Roman" w:hAnsi="Times New Roman"/>
                <w:b w:val="0"/>
                <w:i w:val="0"/>
                <w:sz w:val="22"/>
              </w:rPr>
              <w:t>Yibiao Lu</w:t>
            </w:r>
          </w:p>
          <w:p>
            <w:pPr>
              <w:spacing w:after="0"/>
            </w:pPr>
            <w:r>
              <w:rPr>
                <w:rFonts w:ascii="Times New Roman" w:hAnsi="Times New Roman"/>
                <w:b w:val="0"/>
                <w:i w:val="0"/>
                <w:sz w:val="22"/>
              </w:rPr>
              <w:t>17756 George Moran Dr.</w:t>
            </w:r>
          </w:p>
          <w:p>
            <w:pPr>
              <w:spacing w:after="0"/>
            </w:pPr>
            <w:r>
              <w:rPr>
                <w:rFonts w:ascii="Times New Roman" w:hAnsi="Times New Roman"/>
                <w:b w:val="0"/>
                <w:i w:val="0"/>
                <w:sz w:val="22"/>
              </w:rPr>
              <w:t>Eden Prairie, MN 55347</w:t>
            </w:r>
          </w:p>
          <w:p>
            <w:pPr>
              <w:spacing w:after="0"/>
            </w:pPr>
            <w:r>
              <w:rPr>
                <w:rFonts w:ascii="Times New Roman" w:hAnsi="Times New Roman"/>
                <w:b w:val="0"/>
                <w:i w:val="0"/>
                <w:sz w:val="22"/>
              </w:rPr>
              <w:t>(763) 843-2859</w:t>
            </w:r>
          </w:p>
          <w:p>
            <w:pPr>
              <w:spacing w:after="0"/>
            </w:pPr>
            <w:r>
              <w:rPr>
                <w:rFonts w:ascii="Times New Roman" w:hAnsi="Times New Roman"/>
                <w:b w:val="0"/>
                <w:i w:val="0"/>
                <w:sz w:val="22"/>
              </w:rPr>
              <w:t>bill_y_lu@yahoo.com</w:t>
            </w:r>
          </w:p>
          <w:p>
            <w:pPr>
              <w:spacing w:after="0"/>
            </w:pPr>
            <w:r>
              <w:rPr>
                <w:rFonts w:ascii="Times New Roman" w:hAnsi="Times New Roman"/>
                <w:b w:val="0"/>
                <w:i w:val="0"/>
                <w:sz w:val="22"/>
              </w:rPr>
              <w:t>PRO SE PLAINTIFF</w:t>
            </w:r>
          </w:p>
        </w:tc>
      </w:tr>
    </w:tbl>
    <w:p>
      <w:pPr>
        <w:spacing w:after="320" w:before="0"/>
      </w:pPr>
      <w:r>
        <w:rPr>
          <w:rFonts w:ascii="Times New Roman" w:hAnsi="Times New Roman"/>
          <w:b w:val="0"/>
          <w:i w:val="0"/>
          <w:sz w:val="24"/>
        </w:rPr>
      </w:r>
    </w:p>
    <w:p>
      <w:pPr>
        <w:spacing w:after="280" w:before="0"/>
      </w:pPr>
      <w:r>
        <w:rPr>
          <w:rFonts w:ascii="Times New Roman" w:hAnsi="Times New Roman"/>
          <w:b w:val="0"/>
          <w:i w:val="0"/>
          <w:sz w:val="22"/>
        </w:rPr>
        <w:t>Dated: ______________</w:t>
      </w:r>
    </w:p>
    <w:p>
      <w:pPr>
        <w:spacing w:after="0" w:before="0"/>
      </w:pPr>
      <w:r>
        <w:rPr>
          <w:rFonts w:ascii="Times New Roman" w:hAnsi="Times New Roman"/>
          <w:b w:val="0"/>
          <w:i w:val="0"/>
          <w:sz w:val="22"/>
        </w:rPr>
        <w:t>/s/ ____________________________</w:t>
      </w:r>
    </w:p>
    <w:p>
      <w:pPr>
        <w:spacing w:after="0" w:before="0"/>
      </w:pPr>
      <w:r>
        <w:rPr>
          <w:rFonts w:ascii="Times New Roman" w:hAnsi="Times New Roman"/>
          <w:b w:val="0"/>
          <w:i w:val="0"/>
          <w:sz w:val="22"/>
        </w:rPr>
        <w:t>Jie Hu</w:t>
      </w:r>
    </w:p>
    <w:p>
      <w:pPr>
        <w:spacing w:after="0" w:before="0"/>
      </w:pPr>
      <w:r>
        <w:rPr>
          <w:rFonts w:ascii="Times New Roman" w:hAnsi="Times New Roman"/>
          <w:b w:val="0"/>
          <w:i w:val="0"/>
          <w:sz w:val="22"/>
        </w:rPr>
        <w:t>17756 George Moran Dr., Eden Prairie, MN 55347</w:t>
      </w:r>
    </w:p>
    <w:p>
      <w:pPr>
        <w:spacing w:after="0" w:before="0"/>
      </w:pPr>
      <w:r>
        <w:rPr>
          <w:rFonts w:ascii="Times New Roman" w:hAnsi="Times New Roman"/>
          <w:b w:val="0"/>
          <w:i w:val="0"/>
          <w:sz w:val="22"/>
        </w:rPr>
        <w:t>(763) 843-2860   ·   jie_h_hu@yahoo.com</w:t>
      </w:r>
    </w:p>
    <w:p>
      <w:pPr>
        <w:spacing w:after="0" w:before="0"/>
      </w:pPr>
      <w:r>
        <w:rPr>
          <w:rFonts w:ascii="Times New Roman" w:hAnsi="Times New Roman"/>
          <w:b w:val="0"/>
          <w:i w:val="0"/>
          <w:sz w:val="22"/>
        </w:rPr>
        <w:t>PRO SE PLAINTIFF</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s="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