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at 17756 George Moran Dr., Eden Prairie, Minnesota 55347, or at such other place and in such manner as the parties may agree.</w:t>
      </w:r>
    </w:p>
    <w:p>
      <w:pPr>
        <w:spacing w:after="160" w:before="200"/>
        <w:jc w:val="center"/>
      </w:pPr>
      <w:r>
        <w:rPr>
          <w:b/>
          <w:bCs/>
          <w:caps/>
        </w:rPr>
        <w:t xml:space="preserve">Definitions</w:t>
      </w:r>
    </w:p>
    <w:p>
      <w:pPr>
        <w:spacing w:after="160" w:line="276"/>
        <w:ind w:left="720" w:hanging="72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720"/>
      </w:pPr>
      <w:r>
        <w:rPr>
          <w:b/>
          <w:bCs/>
        </w:rPr>
        <w:t xml:space="preserve">"Plaintiffs" </w:t>
      </w:r>
      <w:r>
        <w:t xml:space="preserve">means Yibiao Lu and Jie Hu.</w:t>
      </w:r>
    </w:p>
    <w:p>
      <w:pPr>
        <w:spacing w:after="160" w:line="276"/>
        <w:ind w:left="720" w:hanging="720"/>
      </w:pPr>
      <w:r>
        <w:rPr>
          <w:b/>
          <w:bCs/>
        </w:rPr>
        <w:t xml:space="preserve">"The Claim" </w:t>
      </w:r>
      <w:r>
        <w:t xml:space="preserve">means Farmers claim number 7007986837-1-1, arising from the July 13, 2024 hail loss.</w:t>
      </w:r>
    </w:p>
    <w:p>
      <w:pPr>
        <w:spacing w:after="160" w:line="276"/>
        <w:ind w:left="720" w:hanging="720"/>
      </w:pPr>
      <w:r>
        <w:rPr>
          <w:b/>
          <w:bCs/>
        </w:rPr>
        <w:t xml:space="preserve">"The 2020 Claim" </w:t>
      </w:r>
      <w:r>
        <w:t xml:space="preserve">means Farmers claim number 3013539499-1.</w:t>
      </w:r>
    </w:p>
    <w:p>
      <w:pPr>
        <w:spacing w:after="160" w:line="276"/>
        <w:ind w:left="720" w:hanging="720"/>
      </w:pPr>
      <w:r>
        <w:rPr>
          <w:b/>
          <w:bCs/>
        </w:rPr>
        <w:t xml:space="preserve">"The Policy" </w:t>
      </w:r>
      <w:r>
        <w:t>means homeowner’s Policy 98055-49-65 (shown on Defendant’s correspondence as 0980554965), including all endorsements, in force on July 13, 2024.</w:t>
      </w:r>
    </w:p>
    <w:p>
      <w:pPr>
        <w:spacing w:after="160" w:line="276"/>
        <w:ind w:left="720" w:hanging="720"/>
      </w:pPr>
      <w:r>
        <w:rPr>
          <w:b/>
          <w:bCs/>
        </w:rPr>
        <w:t xml:space="preserve">"The Property" </w:t>
      </w:r>
      <w:r>
        <w:t xml:space="preserve">means the insured dwelling at 17756 George Moran Dr., Eden Prairie, Minnesota 55347.</w:t>
      </w:r>
    </w:p>
    <w:p>
      <w:pPr>
        <w:spacing w:after="160" w:line="276"/>
        <w:ind w:left="720" w:hanging="720"/>
      </w:pPr>
      <w:r>
        <w:rPr>
          <w:b/>
          <w:bCs/>
        </w:rPr>
        <w:t xml:space="preserve">"The Prieve Report" </w:t>
      </w:r>
      <w:r>
        <w:t xml:space="preserve">means the report of Prieve Engineering, LLC, File #241008, together with all drafts thereof.</w:t>
      </w:r>
    </w:p>
    <w:p>
      <w:pPr>
        <w:spacing w:after="160" w:line="276"/>
        <w:ind w:left="720" w:hanging="720"/>
      </w:pPr>
      <w:r>
        <w:rPr>
          <w:b/>
          <w:bCs/>
        </w:rPr>
        <w:t xml:space="preserve">“Photo Appendix A” </w:t>
      </w:r>
      <w:r>
        <w:t>means the 110-page photographic appendix to The Prieve Report, titled “PHOTO APPENDIX A” and bearing File Number 241008 and site visit date October 9, 2024, containing photographs numbered A-1 through A-217, transmitted to Plaintiffs with Your November 4, 2024 letter.</w:t>
      </w:r>
    </w:p>
    <w:p>
      <w:pPr>
        <w:spacing w:after="160" w:line="276"/>
        <w:ind w:left="720" w:hanging="720"/>
      </w:pPr>
      <w:r>
        <w:rPr>
          <w:b/>
          <w:bCs/>
        </w:rPr>
        <w:t xml:space="preserve">"The Appraisal Award" </w:t>
      </w:r>
      <w:r>
        <w:t xml:space="preserve">means the appraisal award entered September 12, 2025 under Minn. Stat. § 65A.01.</w:t>
      </w:r>
    </w:p>
    <w:p>
      <w:pPr>
        <w:spacing w:after="160" w:line="276"/>
        <w:ind w:left="720" w:hanging="72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72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720"/>
      </w:pPr>
      <w:r>
        <w:rPr>
          <w:b/>
          <w:bCs/>
        </w:rPr>
        <w:t xml:space="preserve">"Person" </w:t>
      </w:r>
      <w:r>
        <w:t xml:space="preserve">means any natural person or any business, legal, or governmental entity.</w:t>
      </w:r>
    </w:p>
    <w:p>
      <w:pPr>
        <w:spacing w:after="160" w:line="276"/>
        <w:ind w:left="720" w:hanging="72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60" w:line="276"/>
        <w:ind w:left="720" w:hanging="72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720"/>
      </w:pPr>
      <w:r>
        <w:rPr>
          <w:b/>
          <w:bCs/>
        </w:rPr>
        <w:t>1.</w:t>
        <w:tab/>
      </w:r>
      <w:r>
        <w:t>Time period. Unless a particular request specifies otherwise, each request covers the period January 1, 2020 through the present, except that as to The Policy, the underwriting file for The Policy, and all claims made at The Property before The Claim, each request covers the period October 22, 2014 through the present.</w:t>
      </w:r>
    </w:p>
    <w:p>
      <w:pPr>
        <w:spacing w:after="160" w:line="276"/>
        <w:ind w:left="720" w:hanging="720"/>
      </w:pPr>
      <w:r>
        <w:rPr>
          <w:b/>
          <w:bCs/>
        </w:rPr>
        <w:t>2.</w:t>
        <w:tab/>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ind w:left="720" w:hanging="720"/>
      </w:pPr>
      <w:r>
        <w:rPr>
          <w:b/>
          <w:bCs/>
        </w:rPr>
        <w:t>3.</w:t>
        <w:tab/>
      </w:r>
      <w:r>
        <w:t xml:space="preserve">Continuing duty. These requests are continuing. You must seasonably supplement or correct Your responses and production pursuant to Minn. R. Civ. P. 26.05.</w:t>
      </w:r>
    </w:p>
    <w:p>
      <w:pPr>
        <w:spacing w:after="160" w:line="276"/>
        <w:ind w:left="720" w:hanging="720"/>
      </w:pPr>
      <w:r>
        <w:rPr>
          <w:b/>
          <w:bCs/>
        </w:rPr>
        <w:t>4.</w:t>
        <w:tab/>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ind w:left="720" w:hanging="720"/>
      </w:pPr>
      <w:r>
        <w:rPr>
          <w:b/>
          <w:bCs/>
        </w:rPr>
        <w:t>5.</w:t>
        <w:tab/>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pPr>
        <w:spacing w:after="160" w:line="276"/>
        <w:ind w:left="720" w:hanging="720"/>
      </w:pPr>
      <w:r>
        <w:rPr>
          <w:b/>
          <w:bCs/>
        </w:rPr>
        <w:t>6.</w:t>
        <w:tab/>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ind w:left="720" w:hanging="720"/>
      </w:pPr>
      <w:r>
        <w:rPr>
          <w:b/>
          <w:bCs/>
        </w:rPr>
        <w:t>7.</w:t>
        <w:tab/>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line="276"/>
        <w:ind w:left="720" w:hanging="720"/>
      </w:pPr>
      <w:r>
        <w:rPr>
          <w:b/>
          <w:bCs/>
        </w:rPr>
        <w:t>8.</w:t>
        <w:tab/>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pPr>
        <w:spacing w:after="160" w:line="276"/>
        <w:ind w:left="720" w:hanging="720"/>
      </w:pPr>
      <w:r>
        <w:rPr>
          <w:b/>
          <w:bCs/>
        </w:rPr>
        <w:t>9.</w:t>
        <w:tab/>
      </w:r>
      <w:r>
        <w:t>Partial objections. If You object to any part of a request, produce all documents responsive to the remainder. As Minn. R. Civ. P. 34.02 requires, each objection must state whether any responsive materials are being withheld on the basis of that objection.</w:t>
      </w:r>
    </w:p>
    <w:p>
      <w:pPr>
        <w:spacing w:after="160" w:line="276"/>
        <w:ind w:left="720" w:hanging="720"/>
      </w:pPr>
      <w:r>
        <w:rPr>
          <w:b/>
          <w:bCs/>
        </w:rPr>
        <w:t>10.</w:t>
        <w:tab/>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pPr>
        <w:spacing w:after="160" w:line="276"/>
        <w:ind w:left="720" w:hanging="720"/>
      </w:pPr>
      <w:r>
        <w:rPr>
          <w:b/>
          <w:bCs/>
        </w:rPr>
        <w:t>11.</w:t>
        <w:tab/>
      </w:r>
      <w:r>
        <w:t>Duplicative documents. A document responsive to more than one request need be produced only once, provided the production identifies each request to which it responds.</w:t>
      </w:r>
    </w:p>
    <w:p>
      <w:pPr>
        <w:spacing w:after="160" w:line="276"/>
        <w:ind w:left="720" w:hanging="720"/>
      </w:pPr>
      <w:r>
        <w:rPr>
          <w:b/>
          <w:bCs/>
        </w:rPr>
        <w:t>12.</w:t>
        <w:tab/>
      </w:r>
      <w:r>
        <w:t>Dates. A date used to identify a communication, document, or event reflects Plaintiffs’ best information and is approximate. If Your records show a different date for a communication, document, or event otherwise matching the description, respond and produce as to that communication, document, or event and state the date Your records show.</w:t>
      </w:r>
    </w:p>
    <w:p>
      <w:pPr>
        <w:spacing w:after="160" w:before="200"/>
        <w:jc w:val="center"/>
      </w:pPr>
      <w:r>
        <w:rPr>
          <w:b/>
          <w:bCs/>
          <w:caps/>
        </w:rPr>
        <w:t xml:space="preserve">Requests for Production</w:t>
      </w:r>
    </w:p>
    <w:p>
      <w:pPr>
        <w:spacing w:after="160" w:line="276"/>
        <w:ind w:left="720" w:hanging="720"/>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ind w:left="720" w:hanging="720"/>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ind w:left="720" w:hanging="720"/>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ind w:left="720" w:hanging="720"/>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5:  </w:t>
      </w:r>
      <w:r>
        <w:t>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ind w:left="720" w:hanging="720"/>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ind w:left="720" w:hanging="720"/>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ind w:left="720" w:hanging="720"/>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pPr>
        <w:spacing w:after="160" w:line="276"/>
        <w:ind w:left="720" w:hanging="720"/>
      </w:pPr>
      <w:r>
        <w:rPr>
          <w:b/>
          <w:bCs/>
        </w:rPr>
        <w:t xml:space="preserve">REQUEST FOR PRODUCTION NO. 10:  </w:t>
      </w:r>
      <w:r>
        <w:t>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2024 forward.</w:t>
      </w:r>
    </w:p>
    <w:p>
      <w:pPr>
        <w:spacing w:after="160" w:line="276"/>
        <w:ind w:left="720" w:hanging="720"/>
      </w:pPr>
      <w:r>
        <w:rPr>
          <w:b/>
          <w:bCs/>
        </w:rPr>
        <w:t xml:space="preserve">REQUEST FOR PRODUCTION NO. 11:  </w:t>
      </w:r>
      <w:r>
        <w:t>All communications from January 1, 2020 through the present sent, received, or authored by Nicholas Brau, Bradlee Monson, Christian Dudley, Peter Pietila, or any person to whom Bradlee Monson reported during the handling of The Claim, that use the phrases "engineer’s report only," "engineer required," "non-engineer evidence," "peer review," or any substantively similar phrase, whether or not the communication concerns The Claim.</w:t>
      </w:r>
    </w:p>
    <w:p>
      <w:pPr>
        <w:spacing w:after="160" w:line="276"/>
        <w:ind w:left="720" w:hanging="720"/>
      </w:pPr>
      <w:r>
        <w:rPr>
          <w:b/>
          <w:bCs/>
        </w:rPr>
        <w:t xml:space="preserve">REQUEST FOR PRODUCTION NO. 12:  </w:t>
      </w:r>
      <w:r>
        <w:t>Any log, report, tracking record, or database entry reflecting the acceptance or rejection of evidence not prepared by a licensed engineer on Minnesota hail claims from January 1, 2023 through the present.</w:t>
      </w:r>
    </w:p>
    <w:p>
      <w:pPr>
        <w:spacing w:after="160" w:line="276"/>
        <w:ind w:left="720" w:hanging="720"/>
      </w:pPr>
      <w:r>
        <w:rPr>
          <w:b/>
          <w:bCs/>
        </w:rPr>
        <w:t xml:space="preserve">REQUEST FOR PRODUCTION NO. 13:  </w:t>
      </w:r>
      <w:r>
        <w:t xml:space="preserve">Any reservation-of-rights letter ever issued on The Claim.</w:t>
      </w:r>
    </w:p>
    <w:p>
      <w:pPr>
        <w:spacing w:after="160" w:line="276"/>
        <w:ind w:left="720" w:hanging="720"/>
      </w:pPr>
      <w:r>
        <w:rPr>
          <w:b/>
          <w:bCs/>
        </w:rPr>
        <w:t xml:space="preserve">REQUEST FOR PRODUCTION NO. 14:  </w:t>
      </w:r>
      <w:r>
        <w:t>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counsel, and expressly reserve the right to seek the notice itself upon a showing that responsive documents have been lost or destroyed.</w:t>
      </w:r>
    </w:p>
    <w:p>
      <w:pPr>
        <w:spacing w:after="160" w:line="276"/>
        <w:ind w:left="720" w:hanging="720"/>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ind w:left="720" w:hanging="720"/>
      </w:pPr>
      <w:r>
        <w:rPr>
          <w:b/>
          <w:bCs/>
        </w:rPr>
        <w:t xml:space="preserve">REQUEST FOR PRODUCTION NO. 16:  </w:t>
      </w:r>
      <w:r>
        <w:t>All documents in Your possession, custody, or control that You sent to or received from umpire Wade Roos, or that constitute any portion of his working file for the September 12, 2025 appraisal, including notes, calculations, photographs, measurements, drafts, worksheets, invoices, and communications. If You possess no report, estimate, worksheet, calculation, or methodology document from Mr. Roos supporting the $12,800 Replacement Cost Value or the $6,400 Actual Cash Value, state that expressly in Your response.</w:t>
      </w:r>
    </w:p>
    <w:p>
      <w:pPr>
        <w:spacing w:after="160" w:line="276"/>
        <w:ind w:left="720" w:hanging="720"/>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pPr>
        <w:spacing w:after="160" w:line="276"/>
        <w:ind w:left="720" w:hanging="720"/>
      </w:pPr>
      <w:r>
        <w:rPr>
          <w:b/>
          <w:bCs/>
        </w:rPr>
        <w:t xml:space="preserve">REQUEST FOR PRODUCTION NO. 18:  </w:t>
      </w:r>
      <w:r>
        <w:t xml:space="preserve">All correspondence with the Minnesota Department of Commerce regarding Complaint ID 93547.</w:t>
      </w:r>
    </w:p>
    <w:p>
      <w:pPr>
        <w:spacing w:after="160" w:line="276"/>
        <w:ind w:left="720" w:hanging="720"/>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ind w:left="720" w:hanging="720"/>
      </w:pPr>
      <w:r>
        <w:rPr>
          <w:b/>
          <w:bCs/>
        </w:rPr>
        <w:t xml:space="preserve">REQUEST FOR PRODUCTION NO. 20:  </w:t>
      </w:r>
      <w:r>
        <w:t xml:space="preserve">The complete claims-portal record for The Claim, including all messages, document uploads, and status entries.</w:t>
      </w:r>
    </w:p>
    <w:p>
      <w:pPr>
        <w:spacing w:after="160" w:line="276"/>
        <w:ind w:left="720" w:hanging="720"/>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pPr>
        <w:spacing w:after="160" w:line="276"/>
        <w:ind w:left="720" w:hanging="720"/>
      </w:pPr>
      <w:r>
        <w:rPr>
          <w:b/>
          <w:bCs/>
        </w:rPr>
        <w:t xml:space="preserve">REQUEST FOR PRODUCTION NO. 22:  </w:t>
      </w:r>
      <w:r>
        <w:t xml:space="preserve">All prior-claim inspection records for The Property, including the inspection records for the 2014, 2015, and 2020 claims.</w:t>
      </w:r>
    </w:p>
    <w:p>
      <w:pPr>
        <w:spacing w:after="160" w:line="276"/>
        <w:ind w:left="720" w:hanging="720"/>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ind w:left="720" w:hanging="720"/>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ind w:left="720" w:hanging="720"/>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ind w:left="720" w:hanging="720"/>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ind w:left="720" w:hanging="720"/>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ind w:left="720" w:hanging="720"/>
      </w:pPr>
      <w:r>
        <w:rPr>
          <w:b/>
          <w:bCs/>
        </w:rPr>
        <w:t xml:space="preserve">REQUEST FOR PRODUCTION NO. 28:  </w:t>
      </w:r>
      <w:r>
        <w:t>Documents sufficient to show, for each Minnesota residential property claim involving hail on which You or any Farmers affiliate engaged Hancock Claims Consultants from January 1, 2020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pPr>
        <w:spacing w:after="160" w:line="276"/>
        <w:ind w:left="720" w:hanging="720"/>
      </w:pPr>
      <w:r>
        <w:rPr>
          <w:b/>
          <w:bCs/>
        </w:rPr>
        <w:t xml:space="preserve">REQUEST FOR PRODUCTION NO. 29:  </w:t>
      </w:r>
      <w:r>
        <w:t xml:space="preserve">All internal Farmers communications referring to The Appraisal Award from September 12, 2025 through the date of production.</w:t>
      </w:r>
    </w:p>
    <w:p>
      <w:pPr>
        <w:spacing w:after="160" w:line="276"/>
        <w:ind w:left="720" w:hanging="720"/>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0" w:line="240" w:lineRule="auto"/>
        <w:ind w:left="720" w:hanging="720"/>
      </w:pPr>
      <w:r>
        <w:rPr>
          <w:b/>
        </w:rPr>
        <w:t xml:space="preserve">REQUEST FOR PRODUCTION NO. 31:  </w:t>
      </w:r>
      <w:r>
        <w:t>All policies, procedures, guidelines, manuals, training materials, and standard operating procedures in effect from July 13, 2024 forward governing the retention, review, evaluation, and acceptance or rejection of third-party inspection and engineering reports on property or hail claims, including any quality-control or peer-review process for such reports.</w:t>
      </w:r>
    </w:p>
    <w:p>
      <w:pPr>
        <w:spacing w:after="160" w:before="0" w:line="240" w:lineRule="auto"/>
        <w:ind w:left="720" w:hanging="720"/>
      </w:pPr>
      <w:r>
        <w:rPr>
          <w:b/>
        </w:rPr>
        <w:t xml:space="preserve">REQUEST FOR PRODUCTION NO. 32:  </w:t>
      </w:r>
      <w:r>
        <w:t>All documents reflecting Your review, evaluation, approval, or adoption of the Hancock Claims Consultants and Prieve Engineering reports in The Claim, including internal review notes, checklists, sign-offs, and communications.</w:t>
      </w:r>
    </w:p>
    <w:p>
      <w:pPr>
        <w:spacing w:after="160" w:before="0" w:line="240" w:lineRule="auto"/>
        <w:ind w:left="720" w:hanging="720"/>
      </w:pPr>
      <w:r>
        <w:rPr>
          <w:b/>
        </w:rPr>
        <w:t xml:space="preserve">REQUEST FOR PRODUCTION NO. 33:  </w:t>
      </w:r>
      <w:r>
        <w:rP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and all documents showing the derivation of the $6,400 Actual Cash Value stated in The Appraisal Award, including any worksheet, calculation, or communication allocating that figure between the awarded windows.</w:t>
      </w:r>
    </w:p>
    <w:p>
      <w:pPr>
        <w:spacing w:after="160" w:before="0" w:line="240" w:lineRule="auto"/>
        <w:ind w:left="720" w:hanging="720"/>
      </w:pPr>
      <w:r>
        <w:rPr>
          <w:b/>
        </w:rPr>
        <w:t xml:space="preserve">REQUEST FOR PRODUCTION NO. 34:  </w:t>
      </w:r>
      <w:r>
        <w:rP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pPr>
        <w:spacing w:after="160" w:before="0" w:line="240" w:lineRule="auto"/>
        <w:ind w:left="720" w:hanging="720"/>
      </w:pPr>
      <w:r>
        <w:rPr>
          <w:b/>
        </w:rPr>
        <w:t xml:space="preserve">REQUEST FOR PRODUCTION NO. 35:  </w:t>
      </w:r>
      <w:r>
        <w:rP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pPr>
        <w:spacing w:after="160" w:before="0" w:line="240" w:lineRule="auto"/>
        <w:ind w:left="720" w:hanging="720"/>
      </w:pPr>
      <w:r>
        <w:rPr>
          <w:b/>
        </w:rPr>
        <w:t xml:space="preserve">REQUEST FOR PRODUCTION NO. 36:  </w:t>
      </w:r>
      <w:r>
        <w:rPr/>
        <w:t>All audio recordings, voicemail messages, transcripts, call notes, and telephone logs relating to The Claim or The 2020 Claim, including the February 3, 2025 telephone call between Bradlee Monson and Yibiao Lu and the February 10, 2025 voicemail from Nicholas Brau, together with all documents stating Your retention policy for call recordings, voicemail messages, and telephone logs.</w:t>
      </w:r>
    </w:p>
    <w:p>
      <w:pPr>
        <w:spacing w:after="160" w:before="0" w:line="240" w:lineRule="auto"/>
        <w:ind w:left="720" w:hanging="720"/>
      </w:pPr>
      <w:r>
        <w:rPr>
          <w:b/>
        </w:rPr>
        <w:t xml:space="preserve">REQUEST FOR PRODUCTION NO. 37:  </w:t>
      </w:r>
      <w:r>
        <w:rP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pPr>
        <w:spacing w:after="160" w:before="0" w:line="240" w:lineRule="auto"/>
        <w:ind w:left="720" w:hanging="720"/>
      </w:pPr>
      <w:r>
        <w:rPr>
          <w:b/>
        </w:rPr>
        <w:t xml:space="preserve">REQUEST FOR PRODUCTION NO. 38:  </w:t>
      </w:r>
      <w:r>
        <w:rP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pPr>
        <w:spacing w:after="160" w:before="0" w:line="240" w:lineRule="auto"/>
        <w:ind w:left="720" w:hanging="720"/>
      </w:pPr>
      <w:r>
        <w:rPr>
          <w:b/>
        </w:rPr>
        <w:t xml:space="preserve">REQUEST FOR PRODUCTION NO. 39:  </w:t>
      </w:r>
      <w:r>
        <w:rPr/>
        <w:t>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Roos, by Pure Construction, or by any person acting on Your behalf, and all communications in which either designation appears.</w:t>
      </w:r>
    </w:p>
    <w:p>
      <w:pPr>
        <w:spacing w:after="160" w:before="0" w:line="240" w:lineRule="auto"/>
        <w:ind w:left="720" w:hanging="720"/>
      </w:pPr>
      <w:r>
        <w:rPr>
          <w:b/>
        </w:rPr>
        <w:t xml:space="preserve">REQUEST FOR PRODUCTION NO. 40:  </w:t>
      </w:r>
      <w:r>
        <w:rPr/>
        <w:t xml:space="preserve">All documents stating or reflecting Your interpretation, guidance, training, or claims-handling practice concerning Endorsement J6944 (Limited Matching of Undamaged Property) and concerning the matching obligation addressed in </w:t>
      </w:r>
      <w:r>
        <w:rPr>
          <w:i/>
        </w:rPr>
        <w:t>Cedar Bluff Townhome Condominium Ass'n v. American Family Mut. Ins. Co.</w:t>
      </w:r>
      <w:r>
        <w:rPr/>
        <w:t>, 857 N.W.2d 290 (Minn. 2014), as applied to Minnesota property claims, including any guidance concerning claims in which the original manufacturer of the damaged property has ceased production or the original product is no longer available.</w:t>
      </w:r>
    </w:p>
    <w:p>
      <w:pPr>
        <w:spacing w:after="160" w:before="0" w:line="240" w:lineRule="auto"/>
        <w:ind w:left="720" w:hanging="720"/>
      </w:pPr>
      <w:r>
        <w:rPr>
          <w:b/>
        </w:rPr>
        <w:t xml:space="preserve">REQUEST FOR PRODUCTION NO. 41:  </w:t>
      </w:r>
      <w:r>
        <w:rPr/>
        <w:t>All documents concerning water intrusion, water entry, window leaks, staining, mold, or resulting damage at The Property from July 13, 2024 through the present, including claim entries, communications, inspections, evaluations, photographs, and vendor or engineering observations. This request also seeks all documents supporting (a) Your November 4, 2024 statement that "[o]ur investigation found the condition of the window and components to be from wear/tear," and (b) Conclusion 3 of the Prieve Report (page 7 of 7), that "reported water leakage and water entry at windows is unrelated to hail or any other catastrophic causation"; and all instructions or communications given to Plaintiffs concerning mitigation, repair, or protection of The Property from further damage.</w:t>
      </w:r>
    </w:p>
    <w:p>
      <w:pPr>
        <w:spacing w:after="160" w:before="0" w:line="240" w:lineRule="auto"/>
        <w:ind w:left="720" w:hanging="720"/>
      </w:pPr>
      <w:r>
        <w:rPr>
          <w:b/>
        </w:rPr>
        <w:t xml:space="preserve">REQUEST FOR PRODUCTION NO. 42:  </w:t>
      </w:r>
      <w:r>
        <w:rPr/>
        <w:t>All documents supporting, reflecting, or relating to the allegation in paragraph 14 of Your Answer that Plaintiffs "attempted to direct the claim-handling process by adamantly advising Hancock Claims Consultants that the only thing that needed to be inspected was the windows on the inside where they were leaking," including the assignment, work order, or instructions under which Hancock Claims Consultants was engaged for the August 29, 2024 inspection; every record of any communication between Plaintiffs and Hancock Claims Consultants or You on or about August 20, 2024; every field note, inspection-application entry, or report entry by Jayden Grimm or any other Hancock representative recording any statement by Plaintiffs about the scope of the inspection; and every document identifying the person who first recorded that statement and the date it was recorded. If no document records any such statement by Plaintiffs, state so expressly.</w:t>
      </w:r>
    </w:p>
    <w:p>
      <w:pPr>
        <w:spacing w:after="160" w:before="0" w:line="240" w:lineRule="auto"/>
        <w:ind w:left="720" w:hanging="720"/>
      </w:pPr>
      <w:r>
        <w:rPr>
          <w:b/>
        </w:rPr>
        <w:t xml:space="preserve">REQUEST FOR PRODUCTION NO. 43:  </w:t>
      </w:r>
      <w:r>
        <w:rPr/>
        <w:t>All documents describing, establishing, or governing the "peer review" process referred to in paragraph 24 of Your Answer, under which an engineer's report submitted by an insured "would be peer reviewed," including any policy, procedure, guideline, checklist, or training material describing that process, the persons or vendors who perform it, and the criteria applied; and all documents reflecting Your receipt, review, evaluation, peer review, or disposition of each of the following submissions by Plaintiffs: (a) the January 31, 2025 appeal package; (b) the February 10, 2025 second response; and (c) the May 28, 2025 submission delivered through agent Peter Pietila, including every claim-system note, communication, or review record identifying who reviewed each submission, on what date, and with what result. If no document reflects any review of any of those submissions, state so expressly as to each.</w:t>
      </w:r>
    </w:p>
    <w:p>
      <w:pPr>
        <w:spacing w:after="160" w:before="0" w:line="240" w:lineRule="auto"/>
        <w:ind w:left="720" w:hanging="720"/>
      </w:pPr>
      <w:r>
        <w:rPr>
          <w:b/>
        </w:rPr>
        <w:t xml:space="preserve">REQUEST FOR PRODUCTION NO. 44:  </w:t>
      </w:r>
      <w:r>
        <w:rPr/>
        <w:t>Each document identified in the “ACTIVITIES” section of the Prieve Report as having been reviewed in connection with that evaluation, including the Farmers Insurance Photo Log dated September 11, 2014; the Farmers Insurance Estimates dated September 16, 2014 and July 15, 2015; the Building Loss Worksheet dated October 7, 2021; the Farmers Insurance Letter and Estimate dated February 18, 2022; the Window Condition Summary; and all weather records, together with all documents showing who provided each such document to Prieve Engineering, LLC and when.</w:t>
      </w:r>
    </w:p>
    <w:p>
      <w:pPr>
        <w:spacing w:after="160" w:before="0" w:line="240" w:lineRule="auto"/>
        <w:ind w:left="720" w:hanging="720"/>
      </w:pPr>
      <w:r>
        <w:rPr>
          <w:b/>
        </w:rPr>
        <w:t xml:space="preserve">REQUEST FOR PRODUCTION NO. 45:  </w:t>
      </w:r>
      <w:r>
        <w:rPr/>
        <w:t>All documents concerning any inspection, estimate, valuation, or claim activity at The Property between January 1, 2021 and July 12, 2024, including the Building Loss Worksheet dated October 7, 2021 and the Farmers Insurance Letter and Estimate dated February 18, 2022, and including any claim number under which such activity was recorded.</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line="276"/>
        <w:ind w:left="720" w:hanging="720"/>
      </w:pPr>
      <w:r>
        <w:rPr/>
        <w:t>2.</w:t>
        <w:tab/>
        <w:t xml:space="preserve">On ______________, 2026, I served a true and correct copy of </w:t>
      </w:r>
      <w:r>
        <w:rPr>
          <w:i/>
        </w:rPr>
        <w:t>Plaintiffs’ First Set of Requests for Production of Documents to Defendant Fire Insurance Exchange</w:t>
      </w:r>
      <w:r>
        <w:rPr/>
        <w:t xml:space="preserve"> upon Defendant's counsel of record by depositing it in the United States mail at Eden Prairie, Minnesota, in a sealed envelope with postage prepaid, addressed as follows:</w:t>
      </w:r>
    </w:p>
    <w:p>
      <w:pPr>
        <w:spacing w:after="80" w:line="276"/>
        <w:ind w:left="1080"/>
      </w:pPr>
      <w:r>
        <w:rPr/>
        <w:t>Kevin J. Kennedy (#193872)</w:t>
      </w:r>
    </w:p>
    <w:p>
      <w:pPr>
        <w:spacing w:after="80" w:line="276"/>
        <w:ind w:left="1080"/>
      </w:pPr>
      <w:r>
        <w:rPr/>
        <w:t>Mary J. Baskfield (#0314572)</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720"/>
      </w:pPr>
      <w:r>
        <w:rPr/>
        <w:t>3.</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spacing w:after="160" w:line="276"/>
      </w:pPr>
      <w:r>
        <w:rPr/>
        <w:t>Yibiao Lu</w:t>
      </w:r>
    </w:p>
    <w:p>
      <w:pPr>
        <w:spacing w:after="160" w:line="276"/>
      </w:pPr>
      <w:r>
        <w:rPr>
          <w:i/>
        </w:rPr>
        <w:t>Printed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