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i w:val="0"/>
        </w:rPr>
        <w:t>SHELL — MOTION TO AMEND TO ADD A CLAIM UNDER MINN. STAT. § 604.18</w:t>
      </w:r>
    </w:p>
    <w:p>
      <w:pPr>
        <w:spacing w:after="120" w:before="0" w:line="240" w:lineRule="auto"/>
        <w:jc w:val="center"/>
      </w:pPr>
      <w:r>
        <w:rPr>
          <w:b w:val="0"/>
          <w:i/>
        </w:rPr>
        <w:t>(Working draft — file each Part below as its own document when ready)</w:t>
      </w:r>
    </w:p>
    <w:p>
      <w:pPr>
        <w:spacing w:after="200" w:before="0" w:line="240" w:lineRule="auto"/>
      </w:pPr>
      <w:r>
        <w:rPr>
          <w:b/>
          <w:i/>
        </w:rPr>
        <w:t xml:space="preserve">How to use this shell. </w:t>
      </w:r>
      <w:r>
        <w:rPr>
          <w:b w:val="0"/>
          <w:i/>
        </w:rPr>
        <w:t>This packet contains four components that are normally filed as separate documents: (I) the Notice of Motion and Motion; (II) the Proposed Amended Complaint count, filed as an exhibit to the motion; (III) the supporting Affidavit; and (IV) a Memorandum of Law. Bracketed italic text marks placeholders and evidence to be supplied from discovery. Do not file the § 604.18 count as a freestanding pleading until the Court grants the motion — Minn. Stat. § 604.18, subd. 4(a) forbids pleading the claim before leave is granted.</w:t>
      </w:r>
    </w:p>
    <w:p>
      <w:pPr>
        <w:spacing w:after="120" w:before="0" w:line="240" w:lineRule="auto"/>
        <w:jc w:val="center"/>
      </w:pPr>
      <w:r>
        <w:rPr>
          <w:b/>
          <w:i w:val="0"/>
        </w:rPr>
        <w:t>PART I — NOTICE OF MOTION AND MOTION TO AMEND</w:t>
      </w:r>
    </w:p>
    <w:p>
      <w:pPr>
        <w:spacing w:after="0" w:before="0" w:line="240" w:lineRule="auto"/>
      </w:pPr>
      <w:r>
        <w:rPr>
          <w:b/>
          <w:i w:val="0"/>
        </w:rPr>
        <w:t>NOTICE OF MOTION</w:t>
      </w:r>
    </w:p>
    <w:p>
      <w:pPr>
        <w:spacing w:after="160" w:before="0" w:line="240" w:lineRule="auto"/>
      </w:pPr>
      <w:r>
        <w:rPr>
          <w:b w:val="0"/>
          <w:i w:val="0"/>
        </w:rPr>
        <w:t>TO: Defendant Fire Insurance Exchange and its attorneys of record, Kevin J. Kennedy and Mary J. Baskfield, Kennedy Law Firm P.C.</w:t>
      </w:r>
    </w:p>
    <w:p>
      <w:pPr>
        <w:spacing w:after="160" w:before="0" w:line="240" w:lineRule="auto"/>
      </w:pPr>
      <w:r>
        <w:rPr>
          <w:b/>
          <w:i w:val="0"/>
        </w:rPr>
        <w:t>PLEASE TAKE NOTICE</w:t>
      </w:r>
      <w:r>
        <w:rPr>
          <w:b w:val="0"/>
          <w:i w:val="0"/>
        </w:rPr>
        <w:t xml:space="preserve"> that on ______________, 202__, at ______ __.m., or as soon thereafter as counsel may be heard, before the Honorable Jamie Anderson (or such other judge as may hear the matter) at the Hennepin County Government Center, 300 South Sixth Street, Minneapolis, Minnesota, Plaintiffs Yibiao Lu and Jie Hu will move the Court for the relief set forth below. This motion is brought under Minn. R. Civ. P. 15.01 and Minn. Stat. § 604.18, subd. 4, and is heard under Minn. Gen. R. Prac. 115.</w:t>
      </w:r>
    </w:p>
    <w:p>
      <w:pPr>
        <w:spacing w:after="0" w:before="0" w:line="240" w:lineRule="auto"/>
      </w:pPr>
      <w:r>
        <w:rPr>
          <w:b/>
          <w:i w:val="0"/>
        </w:rPr>
        <w:t>MOTION</w:t>
      </w:r>
    </w:p>
    <w:p>
      <w:pPr>
        <w:spacing w:after="160" w:before="0" w:line="240" w:lineRule="auto"/>
      </w:pPr>
      <w:r>
        <w:rPr>
          <w:b w:val="0"/>
          <w:i w:val="0"/>
        </w:rPr>
        <w:t>Plaintiffs respectfully move the Court for an order granting Plaintiffs leave to amend their Complaint to add a claim for recovery of taxable costs under Minn. Stat. § 604.18 (first-party insurer bad faith), in the form of the Proposed Amended Complaint attached as Exhibit 1 to this motion. The motion is made on the following grounds:</w:t>
      </w:r>
    </w:p>
    <w:p>
      <w:pPr>
        <w:spacing w:after="120" w:before="0" w:line="240" w:lineRule="auto"/>
        <w:ind w:left="360"/>
      </w:pPr>
      <w:r>
        <w:rPr>
          <w:b/>
        </w:rPr>
        <w:t xml:space="preserve">1.  </w:t>
      </w:r>
      <w:r>
        <w:t>Minn. Stat. § 604.18, subd. 4(a) provides that a claim under the statute may not be pleaded in the original complaint and may be added only by motion to amend supported by one or more affidavits establishing a prima facie basis for the claim.</w:t>
      </w:r>
    </w:p>
    <w:p>
      <w:pPr>
        <w:spacing w:after="120" w:before="0" w:line="240" w:lineRule="auto"/>
        <w:ind w:left="360"/>
      </w:pPr>
      <w:r>
        <w:rPr>
          <w:b/>
        </w:rPr>
        <w:t xml:space="preserve">2.  </w:t>
      </w:r>
      <w:r>
        <w:t>The affidavit(s) and exhibits submitted with this motion make the required prima facie showing that (a) Defendant lacked a reasonable basis for denying benefits under the Policy, and (b) Defendant knew of or acted in reckless disregard of the lack of a reasonable basis, as required by Minn. Stat. § 604.18, subd. 2.</w:t>
      </w:r>
    </w:p>
    <w:p>
      <w:pPr>
        <w:spacing w:after="120" w:before="0" w:line="240" w:lineRule="auto"/>
        <w:ind w:left="360"/>
      </w:pPr>
      <w:r>
        <w:rPr>
          <w:b/>
        </w:rPr>
        <w:t xml:space="preserve">3.  </w:t>
      </w:r>
      <w:r>
        <w:t>Leave to amend is governed by Minn. R. Civ. P. 15.01 and should be freely given when justice so requires; the amendment is timely under the Court's scheduling order and is neither futile nor unfairly prejudicial.</w:t>
      </w:r>
    </w:p>
    <w:p>
      <w:pPr>
        <w:spacing w:after="160" w:before="0" w:line="240" w:lineRule="auto"/>
      </w:pPr>
      <w:r>
        <w:rPr>
          <w:b w:val="0"/>
          <w:i w:val="0"/>
        </w:rPr>
        <w:t>This motion is based on this Notice of Motion and Motion, the attached Proposed Amended Complaint (Exhibit 1), the Affidavit of Yibiao Lu and its exhibits, the accompanying Memorandum of Law, the files and records in this action, and any argument presented at the hearing.</w:t>
      </w:r>
    </w:p>
    <w:p>
      <w:pPr>
        <w:spacing w:after="160" w:before="0" w:line="240" w:lineRule="auto"/>
      </w:pPr>
      <w:r>
        <w:rPr>
          <w:b/>
          <w:i w:val="0"/>
        </w:rPr>
        <w:t xml:space="preserve">Meet-and-confer statement (Minn. Gen. R. Prac. 115.10). </w:t>
      </w:r>
      <w:r>
        <w:rPr>
          <w:b w:val="0"/>
          <w:i w:val="0"/>
        </w:rPr>
        <w:t>The undersigned certifies that, on ______________, 202__, Plaintiffs conferred or attempted in good faith to confer with counsel for Defendant regarding the relief requested in this motion, and the parties were unable to resolve the matter.</w:t>
      </w:r>
    </w:p>
    <w:p>
      <w:pPr>
        <w:spacing w:after="0" w:before="0" w:line="240" w:lineRule="auto"/>
      </w:pPr>
      <w:r>
        <w:rPr>
          <w:b w:val="0"/>
          <w:i w:val="0"/>
        </w:rPr>
        <w:t>Dated: ______________, 202__.</w:t>
      </w:r>
    </w:p>
    <w:p>
      <w:pPr>
        <w:spacing w:after="0" w:before="0" w:line="240" w:lineRule="auto"/>
      </w:pPr>
    </w:p>
    <w:p>
      <w:pPr>
        <w:spacing w:after="0" w:before="0" w:line="240" w:lineRule="auto"/>
      </w:pPr>
      <w:r>
        <w:rPr>
          <w:b w:val="0"/>
          <w:i w:val="0"/>
        </w:rPr>
        <w:t>Respectfully submitted,</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 Eden Prairie, MN 55347</w:t>
      </w:r>
    </w:p>
    <w:p>
      <w:pPr>
        <w:spacing w:after="0" w:before="0" w:line="240" w:lineRule="auto"/>
      </w:pPr>
      <w:r>
        <w:rPr>
          <w:b w:val="0"/>
          <w:i w:val="0"/>
        </w:rPr>
        <w:t>Telephone: ______________   Email: ______________</w:t>
      </w:r>
    </w:p>
    <w:p>
      <w:pPr>
        <w:spacing w:after="0" w:before="120" w:line="240" w:lineRule="auto"/>
      </w:pPr>
    </w:p>
    <w:p>
      <w:pPr>
        <w:spacing w:after="80" w:before="0" w:line="240" w:lineRule="auto"/>
        <w:jc w:val="center"/>
      </w:pPr>
      <w:r>
        <w:rPr>
          <w:b/>
          <w:i w:val="0"/>
        </w:rPr>
        <w:t>PART II — PROPOSED AMENDED COMPLAINT: NEW COUNT UNDER § 604.18</w:t>
      </w:r>
    </w:p>
    <w:p>
      <w:pPr>
        <w:spacing w:after="160" w:before="0" w:line="240" w:lineRule="auto"/>
      </w:pPr>
      <w:r>
        <w:rPr>
          <w:i/>
        </w:rPr>
        <w:t>[ Insert as a new Count in the Amended Complaint (renumber paragraphs to follow the existing Complaint, which ends at paragraph 73). File as Exhibit 1 to the motion. Operative only if the Court grants leave. ]</w:t>
      </w:r>
    </w:p>
    <w:p>
      <w:pPr>
        <w:spacing w:after="80" w:before="0" w:line="240" w:lineRule="auto"/>
        <w:jc w:val="center"/>
      </w:pPr>
      <w:r>
        <w:rPr>
          <w:b/>
          <w:i w:val="0"/>
        </w:rPr>
        <w:t>COUNT V — RECOVERY OF TAXABLE COSTS UNDER MINN. STAT. § 604.18</w:t>
      </w:r>
    </w:p>
    <w:p>
      <w:pPr>
        <w:spacing w:after="120" w:before="0" w:line="240" w:lineRule="auto"/>
        <w:ind w:left="360"/>
      </w:pPr>
      <w:r>
        <w:rPr>
          <w:b/>
        </w:rPr>
        <w:t xml:space="preserve">74.  </w:t>
      </w:r>
      <w:r>
        <w:t>Plaintiffs reallege and incorporate paragraphs 1 through 73 of the Complaint as though fully set forth herein.</w:t>
      </w:r>
    </w:p>
    <w:p>
      <w:pPr>
        <w:spacing w:after="120" w:before="0" w:line="240" w:lineRule="auto"/>
        <w:ind w:left="360"/>
      </w:pPr>
      <w:r>
        <w:rPr>
          <w:b/>
        </w:rPr>
        <w:t xml:space="preserve">75.  </w:t>
      </w:r>
      <w:r>
        <w:t>This claim is asserted under Minn. Stat. § 604.18. It is added by leave of Court granted on ______________, 202__, and was not pleaded in the original Complaint, consistent with Minn. Stat. § 604.18, subd. 4(a).</w:t>
      </w:r>
    </w:p>
    <w:p>
      <w:pPr>
        <w:spacing w:after="120" w:before="0" w:line="240" w:lineRule="auto"/>
        <w:ind w:left="360"/>
      </w:pPr>
      <w:r>
        <w:rPr>
          <w:b/>
        </w:rPr>
        <w:t xml:space="preserve">76.  </w:t>
      </w:r>
      <w:r>
        <w:t>Absence of a reasonable basis (§ 604.18, subd. 2(1)). Defendant lacked a reasonable basis for denying benefits under Policy 98055-49-65 for the July 13, 2024 hail loss. The absence of a reasonable basis is shown by, without limitation:</w:t>
      </w:r>
    </w:p>
    <w:p>
      <w:pPr>
        <w:spacing w:after="80" w:before="0" w:line="240" w:lineRule="auto"/>
        <w:ind w:left="720" w:hanging="360"/>
      </w:pPr>
      <w:r>
        <w:t xml:space="preserve">•  </w:t>
      </w:r>
      <w:r>
        <w:rPr>
          <w:i w:val="0"/>
        </w:rPr>
        <w:t>Defendant's September 3, 2024 denial representing that "no other damages [were] observed," issued days before Defendant's own adjuster observed hail dents on multiple windows;</w:t>
      </w:r>
    </w:p>
    <w:p>
      <w:pPr>
        <w:spacing w:after="80" w:before="0" w:line="240" w:lineRule="auto"/>
        <w:ind w:left="720" w:hanging="360"/>
      </w:pPr>
      <w:r>
        <w:t xml:space="preserve">•  </w:t>
      </w:r>
      <w:r>
        <w:rPr>
          <w:i w:val="0"/>
        </w:rPr>
        <w:t>Defendant's issuance of two denials resting on incompatible factual theories (September 3, 2024 and November 4, 2024);</w:t>
      </w:r>
    </w:p>
    <w:p>
      <w:pPr>
        <w:spacing w:after="80" w:before="0" w:line="240" w:lineRule="auto"/>
        <w:ind w:left="720" w:hanging="360"/>
      </w:pPr>
      <w:r>
        <w:t xml:space="preserve">•  </w:t>
      </w:r>
      <w:r>
        <w:rPr>
          <w:i w:val="0"/>
        </w:rPr>
        <w:t>Defendant's adoption of the Prieve Engineering representation that the "most recent hail in Eden Prairie [was] reported in 2020," a statement disproved by public weather records and by Defendant's own September 12, 2025 appraisal award finding hail;</w:t>
      </w:r>
    </w:p>
    <w:p>
      <w:pPr>
        <w:spacing w:after="80" w:before="0" w:line="240" w:lineRule="auto"/>
        <w:ind w:left="720" w:hanging="360"/>
      </w:pPr>
      <w:r>
        <w:t xml:space="preserve">•  </w:t>
      </w:r>
      <w:r>
        <w:rPr>
          <w:i w:val="0"/>
        </w:rPr>
        <w:t>Defendant's imposition of an "engineer's report only" evidentiary rule found nowhere in the Policy, used to refuse review of Plaintiffs' evidence;</w:t>
      </w:r>
    </w:p>
    <w:p>
      <w:pPr>
        <w:spacing w:after="80" w:before="0" w:line="240" w:lineRule="auto"/>
        <w:ind w:left="720" w:hanging="360"/>
      </w:pPr>
      <w:r>
        <w:t xml:space="preserve">•  </w:t>
      </w:r>
      <w:r>
        <w:rPr>
          <w:i w:val="0"/>
        </w:rPr>
        <w:t>Defendant's scoping of the Prieve engagement to "windows only" while using the resulting report to deny the entire claim, including components the report's own Photo Appendix A documents as damaged; and</w:t>
      </w:r>
    </w:p>
    <w:p>
      <w:pPr>
        <w:spacing w:after="80" w:before="0" w:line="240" w:lineRule="auto"/>
        <w:ind w:left="720" w:hanging="360"/>
      </w:pPr>
      <w:r>
        <w:t xml:space="preserve">•  </w:t>
      </w:r>
      <w:r>
        <w:rPr>
          <w:i w:val="0"/>
        </w:rPr>
        <w:t>Defendant's refusal to engage with Plaintiffs' repeated submissions of disproving evidence.</w:t>
      </w:r>
    </w:p>
    <w:p>
      <w:pPr>
        <w:spacing w:after="120" w:before="0" w:line="240" w:lineRule="auto"/>
        <w:ind w:left="360"/>
      </w:pPr>
      <w:r>
        <w:rPr>
          <w:b/>
        </w:rPr>
        <w:t xml:space="preserve">77.  </w:t>
      </w:r>
      <w:r>
        <w:t>Knowledge or reckless disregard (§ 604.18, subd. 2(2)). Defendant knew of, or acted in reckless disregard of, the lack of a reasonable basis for denying benefits, as shown by Defendant's continued denial notwithstanding its own adjuster's contemporaneous observation of window dents, its own retained engineer's photographic documentation of damage its narrative ignored, its own 2020 claim file contradicting its "prior payment" theory, and its own binding appraisal award finding hail as the cause of loss.</w:t>
      </w:r>
    </w:p>
    <w:p>
      <w:pPr>
        <w:spacing w:after="120" w:before="0" w:line="240" w:lineRule="auto"/>
        <w:ind w:left="360"/>
      </w:pPr>
      <w:r>
        <w:rPr>
          <w:b/>
        </w:rPr>
        <w:t xml:space="preserve">78.  </w:t>
      </w:r>
      <w:r>
        <w:t>As a direct result of Defendant's conduct, Plaintiffs are entitled to recover taxable costs under Minn. Stat. § 604.18, subd. 3, consisting of (a) an amount equal to one-half of the proceeds awarded that are in excess of any amount offered by Defendant at least ten days before trial, up to $250,000; and (b) reasonable attorney fees actually incurred to establish the violation, up to $100,000, together with such other relief as the Court deems just. Plaintiffs acknowledge that the amount of any § 604.18 award is determined by the Court in a proceeding after the fact-finder's verdict under Minn. Gen. R. Prac. 119.</w:t>
      </w:r>
    </w:p>
    <w:p>
      <w:pPr>
        <w:spacing w:after="0" w:before="80" w:line="240" w:lineRule="auto"/>
      </w:pPr>
    </w:p>
    <w:p>
      <w:pPr>
        <w:spacing w:after="80" w:before="0" w:line="240" w:lineRule="auto"/>
        <w:jc w:val="center"/>
      </w:pPr>
      <w:r>
        <w:rPr>
          <w:b/>
          <w:i w:val="0"/>
        </w:rPr>
        <w:t>PART III — AFFIDAVIT OF YIBIAO LU IN SUPPORT (OUTLINE)</w:t>
      </w:r>
    </w:p>
    <w:p>
      <w:pPr>
        <w:spacing w:after="160" w:before="0" w:line="240" w:lineRule="auto"/>
      </w:pPr>
      <w:r>
        <w:rPr>
          <w:i/>
        </w:rPr>
        <w:t>[ This affidavit supplies the prima facie factual showing § 604.18 subd. 4 requires. Fill each bracketed item from the discovery record and attach the referenced exhibits. Sign before a notary. ]</w:t>
      </w:r>
    </w:p>
    <w:p>
      <w:pPr>
        <w:spacing w:after="0" w:before="0" w:line="240" w:lineRule="auto"/>
      </w:pPr>
      <w:r>
        <w:rPr>
          <w:b w:val="0"/>
          <w:i w:val="0"/>
        </w:rPr>
        <w:t>STATE OF MINNESOTA  )</w:t>
      </w:r>
    </w:p>
    <w:p>
      <w:pPr>
        <w:spacing w:after="0" w:before="0" w:line="240" w:lineRule="auto"/>
      </w:pPr>
      <w:r>
        <w:rPr>
          <w:b w:val="0"/>
          <w:i w:val="0"/>
        </w:rPr>
        <w:t xml:space="preserve">                                     ) ss.</w:t>
      </w:r>
    </w:p>
    <w:p>
      <w:pPr>
        <w:spacing w:after="120" w:before="0" w:line="240" w:lineRule="auto"/>
      </w:pPr>
      <w:r>
        <w:rPr>
          <w:b w:val="0"/>
          <w:i w:val="0"/>
        </w:rPr>
        <w:t>COUNTY OF HENNEPIN )</w:t>
      </w:r>
    </w:p>
    <w:p>
      <w:pPr>
        <w:spacing w:after="160" w:before="0" w:line="240" w:lineRule="auto"/>
      </w:pPr>
      <w:r>
        <w:rPr>
          <w:b w:val="0"/>
          <w:i w:val="0"/>
        </w:rPr>
        <w:t>Yibiao Lu, being first duly sworn, states as follows:</w:t>
      </w:r>
    </w:p>
    <w:p>
      <w:pPr>
        <w:spacing w:after="120" w:before="0" w:line="240" w:lineRule="auto"/>
        <w:ind w:left="360"/>
      </w:pPr>
      <w:r>
        <w:rPr>
          <w:b/>
        </w:rPr>
        <w:t xml:space="preserve">1.  </w:t>
      </w:r>
      <w:r>
        <w:t>I am a Plaintiff in this action and a named insured under Policy 98055-49-65. I make this affidavit on personal knowledge and on my review of the documents Defendant produced in discovery, the true and correct copies of which are attached as the exhibits identified below.</w:t>
      </w:r>
    </w:p>
    <w:p>
      <w:pPr>
        <w:spacing w:after="120" w:before="0" w:line="240" w:lineRule="auto"/>
        <w:ind w:left="360"/>
      </w:pPr>
      <w:r>
        <w:rPr>
          <w:b/>
        </w:rPr>
        <w:t xml:space="preserve">2.  </w:t>
      </w:r>
      <w:r>
        <w:t>Attached as Exhibit A is Defendant's September 3, 2024 letter, which states that "no other damages [were] observed."</w:t>
      </w:r>
      <w:r>
        <w:rPr>
          <w:i/>
        </w:rPr>
        <w:t xml:space="preserve">  [confirm exhibit letter/quote]</w:t>
      </w:r>
    </w:p>
    <w:p>
      <w:pPr>
        <w:spacing w:after="120" w:before="0" w:line="240" w:lineRule="auto"/>
        <w:ind w:left="360"/>
      </w:pPr>
      <w:r>
        <w:rPr>
          <w:b/>
        </w:rPr>
        <w:t xml:space="preserve">3.  </w:t>
      </w:r>
      <w:r>
        <w:t>Attached as Exhibit B is Defendant's November 4, 2024 denial letter citing six policy exclusions.</w:t>
      </w:r>
    </w:p>
    <w:p>
      <w:pPr>
        <w:spacing w:after="120" w:before="0" w:line="240" w:lineRule="auto"/>
        <w:ind w:left="360"/>
      </w:pPr>
      <w:r>
        <w:rPr>
          <w:b/>
        </w:rPr>
        <w:t xml:space="preserve">4.  </w:t>
      </w:r>
      <w:r>
        <w:t>Attached as Exhibit C is [the record of adjuster Nicholas Brau's September 6, 2024 inspection / Defendant's written statement that no such report exists], showing that Defendant's own adjuster observed dents on multiple windows three days after the September 3, 2024 "no other damages" representation.</w:t>
      </w:r>
      <w:r>
        <w:rPr>
          <w:i/>
        </w:rPr>
        <w:t xml:space="preserve">  [cite deposition page/line or produced document]</w:t>
      </w:r>
    </w:p>
    <w:p>
      <w:pPr>
        <w:spacing w:after="120" w:before="0" w:line="240" w:lineRule="auto"/>
        <w:ind w:left="360"/>
      </w:pPr>
      <w:r>
        <w:rPr>
          <w:b/>
        </w:rPr>
        <w:t xml:space="preserve">5.  </w:t>
      </w:r>
      <w:r>
        <w:t>Attached as Exhibit D are the National Weather Service and ASOS records documenting the July 13-14, 2024 hail event and the 48 mph wind gust at Eden Prairie, disproving the Prieve Report's "most recent hail in 2020" premise.</w:t>
      </w:r>
    </w:p>
    <w:p>
      <w:pPr>
        <w:spacing w:after="120" w:before="0" w:line="240" w:lineRule="auto"/>
        <w:ind w:left="360"/>
      </w:pPr>
      <w:r>
        <w:rPr>
          <w:b/>
        </w:rPr>
        <w:t xml:space="preserve">6.  </w:t>
      </w:r>
      <w:r>
        <w:t>Attached as Exhibit E is the Prieve Engineering report and its Photo Appendix A, which document dents on at least twenty-five windows and on non-window components (downspouts, flashing, trim) that the report's conclusions do not address.</w:t>
      </w:r>
      <w:r>
        <w:rPr>
          <w:i/>
        </w:rPr>
        <w:t xml:space="preserve">  [cite specific photo numbers]</w:t>
      </w:r>
    </w:p>
    <w:p>
      <w:pPr>
        <w:spacing w:after="120" w:before="0" w:line="240" w:lineRule="auto"/>
        <w:ind w:left="360"/>
      </w:pPr>
      <w:r>
        <w:rPr>
          <w:b/>
        </w:rPr>
        <w:t xml:space="preserve">7.  </w:t>
      </w:r>
      <w:r>
        <w:t>Attached as Exhibit F is Defendant's 2020 claim file and Xactimate, showing the 2020 payment reached at most two sashes, which contradicts Defendant's "prior payment" rationale for the remaining windows.</w:t>
      </w:r>
      <w:r>
        <w:rPr>
          <w:i/>
        </w:rPr>
        <w:t xml:space="preserve">  [cite line items]</w:t>
      </w:r>
    </w:p>
    <w:p>
      <w:pPr>
        <w:spacing w:after="120" w:before="0" w:line="240" w:lineRule="auto"/>
        <w:ind w:left="360"/>
      </w:pPr>
      <w:r>
        <w:rPr>
          <w:b/>
        </w:rPr>
        <w:t xml:space="preserve">8.  </w:t>
      </w:r>
      <w:r>
        <w:t>Attached as Exhibit G is the September 12, 2025 appraisal award, in which Defendant's own panel found hail to be the cause of loss.</w:t>
      </w:r>
    </w:p>
    <w:p>
      <w:pPr>
        <w:spacing w:after="120" w:before="0" w:line="240" w:lineRule="auto"/>
        <w:ind w:left="360"/>
      </w:pPr>
      <w:r>
        <w:rPr>
          <w:b/>
        </w:rPr>
        <w:t xml:space="preserve">9.  </w:t>
      </w:r>
      <w:r>
        <w:t>Attached as Exhibit H are [Defendant's claim notes / audit trail / deposition excerpts of Brau, Monson, and Prieve] establishing that Defendant continued its denial with knowledge of, or reckless disregard for, the facts above.</w:t>
      </w:r>
      <w:r>
        <w:rPr>
          <w:i/>
        </w:rPr>
        <w:t xml:space="preserve">  [fill from discovery]</w:t>
      </w:r>
    </w:p>
    <w:p>
      <w:pPr>
        <w:spacing w:after="120" w:before="0" w:line="240" w:lineRule="auto"/>
        <w:ind w:left="360"/>
      </w:pPr>
      <w:r>
        <w:rPr>
          <w:b/>
        </w:rPr>
        <w:t xml:space="preserve">10.  </w:t>
      </w:r>
      <w:r>
        <w:t>Based on the foregoing, Defendant lacked a reasonable basis to deny benefits and knew of or recklessly disregarded that lack of a reasonable basis.</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w:t>
      </w:r>
    </w:p>
    <w:p>
      <w:pPr>
        <w:spacing w:after="0" w:before="0" w:line="240" w:lineRule="auto"/>
      </w:pPr>
    </w:p>
    <w:p>
      <w:pPr>
        <w:spacing w:after="0" w:before="0" w:line="240" w:lineRule="auto"/>
      </w:pPr>
      <w:r>
        <w:rPr>
          <w:b w:val="0"/>
          <w:i w:val="0"/>
        </w:rPr>
        <w:t>Subscribed and sworn to before me this ______ day of ______________, 202__.</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Notary Public</w:t>
      </w:r>
    </w:p>
    <w:p>
      <w:pPr>
        <w:spacing w:after="0" w:before="0" w:line="240" w:lineRule="auto"/>
      </w:pPr>
    </w:p>
    <w:p>
      <w:pPr>
        <w:spacing w:after="160" w:before="0" w:line="240" w:lineRule="auto"/>
      </w:pPr>
      <w:r>
        <w:rPr>
          <w:b/>
          <w:i w:val="0"/>
        </w:rPr>
        <w:t xml:space="preserve">Evidence-to-gather checklist (attach as exhibits as it comes in): </w:t>
      </w:r>
    </w:p>
    <w:p>
      <w:pPr>
        <w:spacing w:after="80" w:before="0" w:line="240" w:lineRule="auto"/>
        <w:ind w:left="720" w:hanging="360"/>
      </w:pPr>
      <w:r>
        <w:t xml:space="preserve">•  </w:t>
      </w:r>
      <w:r>
        <w:rPr>
          <w:i/>
        </w:rPr>
        <w:t>Brau September 6, 2024 inspection notes/sketches — or Defendant's written confirmation none exist (RFP No. 3);</w:t>
      </w:r>
    </w:p>
    <w:p>
      <w:pPr>
        <w:spacing w:after="80" w:before="0" w:line="240" w:lineRule="auto"/>
        <w:ind w:left="720" w:hanging="360"/>
      </w:pPr>
      <w:r>
        <w:t xml:space="preserve">•  </w:t>
      </w:r>
      <w:r>
        <w:rPr>
          <w:i/>
        </w:rPr>
        <w:t>Prieve complete file and native photos with metadata (RFP Nos. 5-6);</w:t>
      </w:r>
    </w:p>
    <w:p>
      <w:pPr>
        <w:spacing w:after="80" w:before="0" w:line="240" w:lineRule="auto"/>
        <w:ind w:left="720" w:hanging="360"/>
      </w:pPr>
      <w:r>
        <w:t xml:space="preserve">•  </w:t>
      </w:r>
      <w:r>
        <w:rPr>
          <w:i/>
        </w:rPr>
        <w:t>2020 claim file, Xactimate, and October 13, 2020 photo log (RFP Nos. 2, 23);</w:t>
      </w:r>
    </w:p>
    <w:p>
      <w:pPr>
        <w:spacing w:after="80" w:before="0" w:line="240" w:lineRule="auto"/>
        <w:ind w:left="720" w:hanging="360"/>
      </w:pPr>
      <w:r>
        <w:t xml:space="preserve">•  </w:t>
      </w:r>
      <w:r>
        <w:rPr>
          <w:i/>
        </w:rPr>
        <w:t>Claim notes and full audit trail (RFP Nos. 1, 20-21);</w:t>
      </w:r>
    </w:p>
    <w:p>
      <w:pPr>
        <w:spacing w:after="80" w:before="0" w:line="240" w:lineRule="auto"/>
        <w:ind w:left="720" w:hanging="360"/>
      </w:pPr>
      <w:r>
        <w:t xml:space="preserve">•  </w:t>
      </w:r>
      <w:r>
        <w:rPr>
          <w:i/>
        </w:rPr>
        <w:t>Deposition transcripts of Brau, Monson, and the Prieve engineer;</w:t>
      </w:r>
    </w:p>
    <w:p>
      <w:pPr>
        <w:spacing w:after="80" w:before="0" w:line="240" w:lineRule="auto"/>
        <w:ind w:left="720" w:hanging="360"/>
      </w:pPr>
      <w:r>
        <w:t xml:space="preserve">•  </w:t>
      </w:r>
      <w:r>
        <w:rPr>
          <w:i/>
        </w:rPr>
        <w:t>NWS / ASOS weather records and the neighbor canvass and City permit records;</w:t>
      </w:r>
    </w:p>
    <w:p>
      <w:pPr>
        <w:spacing w:after="80" w:before="0" w:line="240" w:lineRule="auto"/>
        <w:ind w:left="720" w:hanging="360"/>
      </w:pPr>
      <w:r>
        <w:t xml:space="preserve">•  </w:t>
      </w:r>
      <w:r>
        <w:rPr>
          <w:i/>
        </w:rPr>
        <w:t>Internal communications on the "engineer's report only" rule (RFP Nos. 10-12);</w:t>
      </w:r>
    </w:p>
    <w:p>
      <w:pPr>
        <w:spacing w:after="80" w:before="0" w:line="240" w:lineRule="auto"/>
        <w:ind w:left="720" w:hanging="360"/>
      </w:pPr>
      <w:r>
        <w:t xml:space="preserve">•  </w:t>
      </w:r>
      <w:r>
        <w:rPr>
          <w:i/>
        </w:rPr>
        <w:t>Interrogatory answers on window-by-window scope and the basis for each non-award (Rog Nos. 3-6, 17).</w:t>
      </w:r>
    </w:p>
    <w:p>
      <w:pPr>
        <w:spacing w:after="0" w:before="80" w:line="240" w:lineRule="auto"/>
      </w:pPr>
    </w:p>
    <w:p>
      <w:pPr>
        <w:spacing w:after="80" w:before="0" w:line="240" w:lineRule="auto"/>
        <w:jc w:val="center"/>
      </w:pPr>
      <w:r>
        <w:rPr>
          <w:b/>
          <w:i w:val="0"/>
        </w:rPr>
        <w:t>PART IV — MEMORANDUM OF LAW (SKELETON)</w:t>
      </w:r>
    </w:p>
    <w:p>
      <w:pPr>
        <w:spacing w:after="40" w:before="0" w:line="240" w:lineRule="auto"/>
      </w:pPr>
      <w:r>
        <w:rPr>
          <w:b/>
          <w:i w:val="0"/>
        </w:rPr>
        <w:t>I.  Introduction</w:t>
      </w:r>
    </w:p>
    <w:p>
      <w:pPr>
        <w:spacing w:after="160" w:before="0" w:line="240" w:lineRule="auto"/>
      </w:pPr>
      <w:r>
        <w:rPr>
          <w:i/>
        </w:rPr>
        <w:t>[ One paragraph: Plaintiffs move to add a § 604.18 claim; the affidavit record makes the prima facie showing; leave should be granted. ]</w:t>
      </w:r>
    </w:p>
    <w:p>
      <w:pPr>
        <w:spacing w:after="40" w:before="0" w:line="240" w:lineRule="auto"/>
      </w:pPr>
      <w:r>
        <w:rPr>
          <w:b/>
          <w:i w:val="0"/>
        </w:rPr>
        <w:t>II.  Standard</w:t>
      </w:r>
    </w:p>
    <w:p>
      <w:pPr>
        <w:spacing w:after="160" w:before="0" w:line="240" w:lineRule="auto"/>
      </w:pPr>
      <w:r>
        <w:rPr>
          <w:b w:val="0"/>
          <w:i w:val="0"/>
        </w:rPr>
        <w:t>Under Minn. Stat. § 604.18, subd. 4, a court permits the amendment if the insured makes a prima facie showing of the two elements in subd. 2; the court does not weigh the evidence or resolve credibility at this stage but determines whether the affidavits, if unrebutted, would support the claim. Leave to amend is otherwise governed by Minn. R. Civ. P. 15.01 (freely given when justice so requires).</w:t>
      </w:r>
    </w:p>
    <w:p>
      <w:pPr>
        <w:spacing w:after="40" w:before="0" w:line="240" w:lineRule="auto"/>
      </w:pPr>
      <w:r>
        <w:rPr>
          <w:b/>
          <w:i w:val="0"/>
        </w:rPr>
        <w:t>III.  Argument</w:t>
      </w:r>
    </w:p>
    <w:p>
      <w:pPr>
        <w:spacing w:after="160" w:before="0" w:line="240" w:lineRule="auto"/>
      </w:pPr>
      <w:r>
        <w:rPr>
          <w:b/>
          <w:i w:val="0"/>
        </w:rPr>
        <w:t xml:space="preserve">A.  Defendant lacked a reasonable basis to deny benefits (subd. 2(1)). </w:t>
      </w:r>
      <w:r>
        <w:rPr>
          <w:b w:val="0"/>
          <w:i w:val="0"/>
        </w:rPr>
        <w:t>Marshal the affidavit facts: the inconsistent denials, the objectively false "no hail after 2020" premise, the non-policy "engineer's report only" rule, the "windows only" scoping used to deny the whole claim, and the refusal to engage disproving evidence.</w:t>
      </w:r>
    </w:p>
    <w:p>
      <w:pPr>
        <w:spacing w:after="160" w:before="0" w:line="240" w:lineRule="auto"/>
      </w:pPr>
      <w:r>
        <w:rPr>
          <w:b/>
          <w:i w:val="0"/>
        </w:rPr>
        <w:t xml:space="preserve">B.  Defendant knew of or recklessly disregarded the lack of a reasonable basis (subd. 2(2)). </w:t>
      </w:r>
      <w:r>
        <w:rPr>
          <w:b w:val="0"/>
          <w:i w:val="0"/>
        </w:rPr>
        <w:t>Emphasize that the contradicting facts came from Defendant's own adjuster, its own engineer's appendix, its own 2020 file, and its own binding award.</w:t>
      </w:r>
    </w:p>
    <w:p>
      <w:pPr>
        <w:spacing w:after="160" w:before="0" w:line="240" w:lineRule="auto"/>
      </w:pPr>
      <w:r>
        <w:rPr>
          <w:b/>
          <w:i w:val="0"/>
        </w:rPr>
        <w:t xml:space="preserve">C.  The amendment is timely and not futile. </w:t>
      </w:r>
      <w:r>
        <w:rPr>
          <w:b w:val="0"/>
          <w:i w:val="0"/>
        </w:rPr>
        <w:t>It is within the scheduling-order deadline for the § 604.18 motion; the prima facie showing defeats futility; there is no unfair prejudice.</w:t>
      </w:r>
    </w:p>
    <w:p>
      <w:pPr>
        <w:spacing w:after="160" w:before="0" w:line="240" w:lineRule="auto"/>
      </w:pPr>
      <w:r>
        <w:rPr>
          <w:b/>
          <w:i w:val="0"/>
        </w:rPr>
        <w:t xml:space="preserve">D.  The subd. 4(b) "resolved through appraisal" limitation does not bar the claim. </w:t>
      </w:r>
      <w:r>
        <w:rPr>
          <w:b w:val="0"/>
          <w:i w:val="0"/>
        </w:rPr>
        <w:t>The claim was not resolved by the appraisal: the panel evaluated only two windows and had no jurisdiction over the balance of the claim, which remains live under Count I.</w:t>
      </w:r>
    </w:p>
    <w:p>
      <w:pPr>
        <w:spacing w:after="40" w:before="0" w:line="240" w:lineRule="auto"/>
      </w:pPr>
      <w:r>
        <w:rPr>
          <w:b/>
          <w:i w:val="0"/>
        </w:rPr>
        <w:t>IV.  Conclusion</w:t>
      </w:r>
    </w:p>
    <w:p>
      <w:pPr>
        <w:spacing w:after="160" w:before="0" w:line="240" w:lineRule="auto"/>
      </w:pPr>
      <w:r>
        <w:rPr>
          <w:i/>
        </w:rPr>
        <w:t>[ Request an order granting leave to file the Amended Complaint (Exhibit 1). ]</w:t>
      </w:r>
    </w:p>
    <w:p>
      <w:pPr>
        <w:spacing w:after="0" w:before="0" w:line="240" w:lineRule="auto"/>
      </w:pPr>
    </w:p>
    <w:p>
      <w:pPr>
        <w:spacing w:after="0" w:before="0" w:line="240" w:lineRule="auto"/>
      </w:pPr>
      <w:r>
        <w:rPr>
          <w:b w:val="0"/>
          <w:i w:val="0"/>
        </w:rPr>
        <w:t>Dated: ______________, 202__.</w:t>
      </w:r>
    </w:p>
    <w:p>
      <w:pPr>
        <w:spacing w:after="0" w:before="0" w:line="240" w:lineRule="auto"/>
      </w:pPr>
    </w:p>
    <w:p>
      <w:pPr>
        <w:spacing w:after="0" w:before="0" w:line="240" w:lineRule="auto"/>
      </w:pPr>
      <w:r>
        <w:rPr>
          <w:b w:val="0"/>
          <w:i w:val="0"/>
        </w:rPr>
        <w:t>Respectfully submitted,</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 Eden Prairie, MN 55347</w:t>
      </w:r>
    </w:p>
    <w:p>
      <w:pPr>
        <w:spacing w:after="0" w:before="0" w:line="240" w:lineRule="auto"/>
      </w:pPr>
      <w:r>
        <w:rPr>
          <w:b w:val="0"/>
          <w:i w:val="0"/>
        </w:rPr>
        <w:t>Telephone: ______________   Email: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