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upper-level bedroom window on the west side, south of the entry (photographs A-59 through A-65),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(photographs A-147 through A-160), the upper east window above porch (photographs A-161 through A-166), the four-season porch windows (photographs A-167 through A-175), the north-facing porch window (photographs A-176 through A-183, which Defendant's engineer attributes to the 2020 prior claim — an attribution Plaintiffs dispute as to all sashes beyond the two previously paid),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