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b w:val="0"/>
          <w:i w:val="0"/>
        </w:rPr>
        <w:t>Yibiao Lu and Jie Hu</w:t>
      </w:r>
    </w:p>
    <w:p>
      <w:pPr>
        <w:spacing w:after="0" w:before="0" w:line="240" w:lineRule="auto"/>
      </w:pPr>
      <w:r>
        <w:rPr>
          <w:b w:val="0"/>
          <w:i w:val="0"/>
        </w:rPr>
        <w:t>17756 George Moran Dr.</w:t>
      </w:r>
    </w:p>
    <w:p>
      <w:pPr>
        <w:spacing w:after="0" w:before="0" w:line="240" w:lineRule="auto"/>
      </w:pPr>
      <w:r>
        <w:rPr>
          <w:b w:val="0"/>
          <w:i w:val="0"/>
        </w:rPr>
        <w:t>Eden Prairie, MN 55347</w:t>
      </w:r>
    </w:p>
    <w:p>
      <w:pPr>
        <w:spacing w:after="240" w:before="0" w:line="240" w:lineRule="auto"/>
      </w:pPr>
      <w:r>
        <w:rPr>
          <w:b w:val="0"/>
          <w:i w:val="0"/>
        </w:rPr>
        <w:t>Email: ______________   |   Telephone: ______________</w:t>
      </w:r>
    </w:p>
    <w:p>
      <w:pPr>
        <w:spacing w:after="240" w:before="0" w:line="240" w:lineRule="auto"/>
      </w:pPr>
      <w:r>
        <w:rPr>
          <w:b w:val="0"/>
          <w:i w:val="0"/>
        </w:rPr>
        <w:t>__________ ___, 202__</w:t>
      </w:r>
    </w:p>
    <w:p>
      <w:pPr>
        <w:spacing w:after="240" w:before="0" w:line="240" w:lineRule="auto"/>
      </w:pPr>
      <w:r>
        <w:rPr>
          <w:b w:val="0"/>
          <w:i w:val="0"/>
        </w:rPr>
        <w:t>To:  ______________________________ [expert name / firm]</w:t>
      </w:r>
    </w:p>
    <w:p>
      <w:pPr>
        <w:spacing w:after="240" w:before="0" w:line="240" w:lineRule="auto"/>
      </w:pPr>
      <w:r>
        <w:rPr>
          <w:b/>
        </w:rPr>
        <w:t xml:space="preserve">Re:  </w:t>
      </w:r>
      <w:r>
        <w:rPr>
          <w:b/>
        </w:rPr>
        <w:t>Lu and Hu v. Fire Insurance Exchange, Hennepin County District Court, Court File No. 27-CV-26-11606 — records provided for expert review</w:t>
      </w:r>
    </w:p>
    <w:p>
      <w:pPr>
        <w:spacing w:after="160" w:before="0" w:line="240" w:lineRule="auto"/>
      </w:pPr>
      <w:r>
        <w:rPr>
          <w:b w:val="0"/>
          <w:i w:val="0"/>
        </w:rPr>
        <w:t>Dear ______________:</w:t>
      </w:r>
    </w:p>
    <w:p>
      <w:pPr>
        <w:spacing w:after="160" w:before="0" w:line="240" w:lineRule="auto"/>
      </w:pPr>
      <w:r>
        <w:rPr>
          <w:b w:val="0"/>
        </w:rPr>
        <w:t>Thank you for agreeing to review this matter. Enclosed is the core record for your independent evaluation of the July 13-14, 2024 hail loss at our home. We ask you to assess (1) whether hail caused the documented damage to the windows and exterior components, and (2) the methodology and conclusions of the Prieve Engineering report — and, to the extent within your discipline, the hail size and storm severity at our address on the loss date.</w:t>
      </w:r>
    </w:p>
    <w:p>
      <w:pPr>
        <w:spacing w:after="160" w:before="0" w:line="240" w:lineRule="auto"/>
      </w:pPr>
      <w:r>
        <w:rPr>
          <w:b w:val="0"/>
        </w:rPr>
        <w:t>The materials are listed below. Please form your opinions independently from these primary records; the one index we prepared (item 12) is a factual photograph cross-reference only and contains no conclusions.</w:t>
      </w:r>
    </w:p>
    <w:p>
      <w:pPr>
        <w:spacing w:after="80" w:before="0" w:line="240" w:lineRule="auto"/>
      </w:pPr>
      <w:r>
        <w:rPr>
          <w:b/>
          <w:i w:val="0"/>
        </w:rPr>
        <w:t>Enclosed materials</w:t>
      </w:r>
    </w:p>
    <w:p>
      <w:pPr>
        <w:spacing w:after="80" w:before="0" w:line="240" w:lineRule="auto"/>
        <w:ind w:left="1080" w:hanging="720"/>
      </w:pPr>
      <w:r>
        <w:rPr>
          <w:b/>
        </w:rPr>
        <w:t xml:space="preserve">01  </w:t>
      </w:r>
      <w:r>
        <w:rPr>
          <w:b/>
        </w:rPr>
        <w:t>Transmittal &amp; Index (this document)</w:t>
      </w:r>
      <w:r>
        <w:t xml:space="preserve"> — the cover letter and list of enclosed materials.</w:t>
      </w:r>
    </w:p>
    <w:p>
      <w:pPr>
        <w:spacing w:after="80" w:before="0" w:line="240" w:lineRule="auto"/>
        <w:ind w:left="1080" w:hanging="720"/>
      </w:pPr>
      <w:r>
        <w:rPr>
          <w:b/>
        </w:rPr>
        <w:t xml:space="preserve">02  </w:t>
      </w:r>
      <w:r>
        <w:rPr>
          <w:b/>
        </w:rPr>
        <w:t>Complaint</w:t>
      </w:r>
      <w:r>
        <w:t xml:space="preserve"> — plaintiffs' pleading describing the loss, the inspections, the denials, and the appraisal.</w:t>
      </w:r>
    </w:p>
    <w:p>
      <w:pPr>
        <w:spacing w:after="80" w:before="0" w:line="240" w:lineRule="auto"/>
        <w:ind w:left="1080" w:hanging="720"/>
      </w:pPr>
      <w:r>
        <w:rPr>
          <w:b/>
        </w:rPr>
        <w:t xml:space="preserve">03  </w:t>
      </w:r>
      <w:r>
        <w:rPr>
          <w:b/>
        </w:rPr>
        <w:t>Defendant's Answer</w:t>
      </w:r>
      <w:r>
        <w:t xml:space="preserve"> — the insurer's response (dated August 10, 2026).</w:t>
      </w:r>
    </w:p>
    <w:p>
      <w:pPr>
        <w:spacing w:after="80" w:before="0" w:line="240" w:lineRule="auto"/>
        <w:ind w:left="1080" w:hanging="720"/>
      </w:pPr>
      <w:r>
        <w:rPr>
          <w:b/>
        </w:rPr>
        <w:t xml:space="preserve">04  </w:t>
      </w:r>
      <w:r>
        <w:rPr>
          <w:b/>
        </w:rPr>
        <w:t>Denial Letter, Nov. 4, 2024</w:t>
      </w:r>
      <w:r>
        <w:t xml:space="preserve"> — the insurer's second denial, transmitting the Prieve report.</w:t>
      </w:r>
    </w:p>
    <w:p>
      <w:pPr>
        <w:spacing w:after="80" w:before="0" w:line="240" w:lineRule="auto"/>
        <w:ind w:left="1080" w:hanging="720"/>
      </w:pPr>
      <w:r>
        <w:rPr>
          <w:b/>
        </w:rPr>
        <w:t xml:space="preserve">05  </w:t>
      </w:r>
      <w:r>
        <w:rPr>
          <w:b/>
        </w:rPr>
        <w:t>Prieve Engineering Report — Photo Appendix A</w:t>
      </w:r>
      <w:r>
        <w:t xml:space="preserve"> — the insurer's engineering report and its photograph appendix (File #241008) — the report to evaluate.</w:t>
      </w:r>
    </w:p>
    <w:p>
      <w:pPr>
        <w:spacing w:after="80" w:before="0" w:line="240" w:lineRule="auto"/>
        <w:ind w:left="1080" w:hanging="720"/>
      </w:pPr>
      <w:r>
        <w:rPr>
          <w:b/>
        </w:rPr>
        <w:t xml:space="preserve">06  </w:t>
      </w:r>
      <w:r>
        <w:rPr>
          <w:b/>
        </w:rPr>
        <w:t>Denial Letter, Sept. 3, 2024</w:t>
      </w:r>
      <w:r>
        <w:t xml:space="preserve"> — the insurer's first denial letter and attached policy provisions.</w:t>
      </w:r>
    </w:p>
    <w:p>
      <w:pPr>
        <w:spacing w:after="80" w:before="0" w:line="240" w:lineRule="auto"/>
        <w:ind w:left="1080" w:hanging="720"/>
      </w:pPr>
      <w:r>
        <w:rPr>
          <w:b/>
        </w:rPr>
        <w:t xml:space="preserve">07  </w:t>
      </w:r>
      <w:r>
        <w:rPr>
          <w:b/>
        </w:rPr>
        <w:t>Appraisal Award, Sept. 12, 2025 (front &amp; back)</w:t>
      </w:r>
      <w:r>
        <w:t xml:space="preserve"> — the binding appraisal award finding hail as the cause of loss to two windows.</w:t>
      </w:r>
    </w:p>
    <w:p>
      <w:pPr>
        <w:spacing w:after="80" w:before="0" w:line="240" w:lineRule="auto"/>
        <w:ind w:left="1080" w:hanging="720"/>
      </w:pPr>
      <w:r>
        <w:rPr>
          <w:b/>
        </w:rPr>
        <w:t xml:space="preserve">08  </w:t>
      </w:r>
      <w:r>
        <w:rPr>
          <w:b/>
        </w:rPr>
        <w:t>Appraisal Demand, Aug. 3, 2025</w:t>
      </w:r>
      <w:r>
        <w:t xml:space="preserve"> — the demand identifying the items submitted to the appraisal panel.</w:t>
      </w:r>
    </w:p>
    <w:p>
      <w:pPr>
        <w:spacing w:after="80" w:before="0" w:line="240" w:lineRule="auto"/>
        <w:ind w:left="1080" w:hanging="720"/>
      </w:pPr>
      <w:r>
        <w:rPr>
          <w:b/>
        </w:rPr>
        <w:t xml:space="preserve">09  </w:t>
      </w:r>
      <w:r>
        <w:rPr>
          <w:b/>
        </w:rPr>
        <w:t>Weather Documentation — NWS, July 13-14, 2024</w:t>
      </w:r>
      <w:r>
        <w:t xml:space="preserve"> — National Weather Service documentation of the hail/wind event in the region.</w:t>
      </w:r>
    </w:p>
    <w:p>
      <w:pPr>
        <w:spacing w:after="80" w:before="0" w:line="240" w:lineRule="auto"/>
        <w:ind w:left="1080" w:hanging="720"/>
      </w:pPr>
      <w:r>
        <w:rPr>
          <w:b/>
        </w:rPr>
        <w:t xml:space="preserve">10  </w:t>
      </w:r>
      <w:r>
        <w:rPr>
          <w:b/>
        </w:rPr>
        <w:t>Prior Claim (2020)</w:t>
      </w:r>
      <w:r>
        <w:t xml:space="preserve"> — documentation of the 2020 claim, relevant to the insurer's prior-damage theory.</w:t>
      </w:r>
    </w:p>
    <w:p>
      <w:pPr>
        <w:spacing w:after="80" w:before="0" w:line="240" w:lineRule="auto"/>
        <w:ind w:left="1080" w:hanging="720"/>
      </w:pPr>
      <w:r>
        <w:rPr>
          <w:b/>
        </w:rPr>
        <w:t xml:space="preserve">11  </w:t>
      </w:r>
      <w:r>
        <w:rPr>
          <w:b/>
        </w:rPr>
        <w:t>Damage Photographs</w:t>
      </w:r>
      <w:r>
        <w:t xml:space="preserve"> — the plaintiffs' photographs of the damage.</w:t>
      </w:r>
    </w:p>
    <w:p>
      <w:pPr>
        <w:spacing w:after="80" w:before="0" w:line="240" w:lineRule="auto"/>
        <w:ind w:left="1080" w:hanging="720"/>
      </w:pPr>
      <w:r>
        <w:rPr>
          <w:b/>
        </w:rPr>
        <w:t xml:space="preserve">12  </w:t>
      </w:r>
      <w:r>
        <w:rPr>
          <w:b/>
        </w:rPr>
        <w:t>Damage Location Index (factual)</w:t>
      </w:r>
      <w:r>
        <w:t xml:space="preserve"> — a spreadsheet cross-referencing documented damage to Prieve's Appendix A photograph numbers, for your convenience only.</w:t>
      </w:r>
    </w:p>
    <w:p>
      <w:pPr>
        <w:spacing w:after="80" w:before="0" w:line="240" w:lineRule="auto"/>
      </w:pPr>
    </w:p>
    <w:p>
      <w:pPr>
        <w:spacing w:after="160" w:before="0" w:line="240" w:lineRule="auto"/>
      </w:pPr>
      <w:r>
        <w:rPr>
          <w:b/>
        </w:rPr>
        <w:t xml:space="preserve">Available on request: </w:t>
      </w:r>
      <w:r>
        <w:rPr>
          <w:b w:val="0"/>
        </w:rPr>
        <w:t>Prieve's native photograph file (with metadata) is expected in discovery and can be provided when produced; additional weather data and the 2020 claim file materials can be supplied; and a site inspection of the property — including a rear-garage window not previously inspected — can be arranged at your convenience.</w:t>
      </w:r>
    </w:p>
    <w:p>
      <w:pPr>
        <w:spacing w:after="240" w:before="0" w:line="240" w:lineRule="auto"/>
      </w:pPr>
      <w:r>
        <w:rPr>
          <w:b w:val="0"/>
        </w:rPr>
        <w:t>Please let us know what else you need. We look forward to your independent assessment.</w:t>
      </w:r>
    </w:p>
    <w:p>
      <w:pPr>
        <w:spacing w:after="360" w:before="0" w:line="240" w:lineRule="auto"/>
      </w:pPr>
      <w:r>
        <w:rPr>
          <w:b w:val="0"/>
          <w:i w:val="0"/>
        </w:rPr>
        <w:t>Sincerely,</w:t>
      </w:r>
    </w:p>
    <w:p>
      <w:pPr>
        <w:spacing w:after="0" w:before="0" w:line="240" w:lineRule="auto"/>
      </w:pPr>
      <w:r>
        <w:rPr>
          <w:b w:val="0"/>
          <w:i w:val="0"/>
        </w:rPr>
        <w:t>______________________________</w:t>
      </w:r>
    </w:p>
    <w:p>
      <w:pPr>
        <w:spacing w:after="0" w:before="0" w:line="240" w:lineRule="auto"/>
      </w:pPr>
      <w:r>
        <w:rPr>
          <w:b w:val="0"/>
          <w:i w:val="0"/>
        </w:rPr>
        <w:t>Yibiao Lu</w:t>
      </w:r>
    </w:p>
    <w:p>
      <w:pPr>
        <w:spacing w:after="200" w:before="0" w:line="240" w:lineRule="auto"/>
      </w:pPr>
    </w:p>
    <w:p>
      <w:pPr>
        <w:spacing w:after="0" w:before="0" w:line="240" w:lineRule="auto"/>
      </w:pPr>
      <w:r>
        <w:rPr>
          <w:b w:val="0"/>
          <w:i w:val="0"/>
        </w:rPr>
        <w:t>______________________________</w:t>
      </w:r>
    </w:p>
    <w:p>
      <w:pPr>
        <w:spacing w:after="0" w:before="0" w:line="240" w:lineRule="auto"/>
      </w:pPr>
      <w:r>
        <w:rPr>
          <w:b w:val="0"/>
          <w:i w:val="0"/>
        </w:rPr>
        <w:t>Jie Hu</w:t>
      </w:r>
    </w:p>
    <w:p>
      <w:pPr>
        <w:spacing w:after="0" w:before="0" w:line="240" w:lineRule="auto"/>
      </w:pPr>
      <w:r>
        <w:rPr>
          <w:b w:val="0"/>
          <w:i w:val="0"/>
        </w:rPr>
        <w:t>Plaintiffs pro 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