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Heading1"/>
      </w:pPr>
      <w:r>
        <w:t xml:space="preserve">dicomhdr User Manual</w:t>
      </w:r>
    </w:p>
    <w:p>
      <w:r>
        <w:t>Version 1.0.5</w:t>
      </w:r>
    </w:p>
    <w:p/>
    <w:p>
      <w:pPr>
        <w:pStyle w:val="Heading1"/>
      </w:pPr>
      <w:r>
        <w:t xml:space="preserve">1. Overview</w:t>
      </w:r>
    </w:p>
    <w:p>
      <w:r>
        <w:t xml:space="preserve">dicomhdr is a Windows desktop application for inspecting DICOM (Digital Imaging and Communications in Medicine) file metadata. It presents the tag hierarchy of one or more DICOM files in a scrollable, expandable tree, with configurable color highlighting for user-defined groups of attributes.</w:t>
      </w:r>
    </w:p>
    <w:p/>
    <w:p>
      <w:r>
        <w:t xml:space="preserve">Multiple files and folders may be loaded simultaneously. Their tag trees are merged into a single view, allowing side-by-side inspection of attributes across studies, series, or individual images.</w:t>
      </w:r>
    </w:p>
    <w:p/>
    <w:p>
      <w:pPr>
        <w:pStyle w:val="Heading1"/>
      </w:pPr>
      <w:r>
        <w:t xml:space="preserve">2. Getting Started</w:t>
      </w:r>
    </w:p>
    <w:p>
      <w:pPr>
        <w:pStyle w:val="Heading2"/>
      </w:pPr>
      <w:r>
        <w:t xml:space="preserve">2.1 System Requirements</w:t>
      </w:r>
    </w:p>
    <w:p>
      <w:pPr>
        <w:pStyle w:val="ListParagraph"/>
        <w:numPr>
          <w:ilvl w:val="0"/>
          <w:numId w:val="1"/>
        </w:numPr>
      </w:pPr>
      <w:r>
        <w:t xml:space="preserve">Windows 10 or later (64-bit)</w:t>
      </w:r>
    </w:p>
    <w:p>
      <w:pPr>
        <w:pStyle w:val="ListParagraph"/>
        <w:numPr>
          <w:ilvl w:val="0"/>
          <w:numId w:val="1"/>
        </w:numPr>
      </w:pPr>
      <w:r>
        <w:t xml:space="preserve">One or more DICOM files or folders containing DICOM files</w:t>
      </w:r>
    </w:p>
    <w:p/>
    <w:p>
      <w:pPr>
        <w:pStyle w:val="Heading2"/>
      </w:pPr>
      <w:r>
        <w:t xml:space="preserve">2.2 Starting the Application</w:t>
      </w:r>
    </w:p>
    <w:p>
      <w:r>
        <w:t xml:space="preserve">Double-click </w:t>
      </w:r>
      <w:r>
        <w:rPr>
          <w:b/>
          <w:bCs/>
        </w:rPr>
        <w:t xml:space="preserve">dicomhdr.exe</w:t>
      </w:r>
      <w:r>
        <w:t xml:space="preserve"> to launch the application. The main window opens with an empty tag tree and a status bar showing the application version.</w:t>
      </w:r>
    </w:p>
    <w:p/>
    <w:p>
      <w:pPr>
        <w:pStyle w:val="Heading1"/>
      </w:pPr>
      <w:r>
        <w:t xml:space="preserve">3. Loading DICOM Data</w:t>
      </w:r>
    </w:p>
    <w:p>
      <w:r>
        <w:t xml:space="preserve">dicomhdr provides three ways to load DICOM data. All loading methods verify files using the DICOM magic-byte signature at offset 128; non-DICOM files are silently skipped.</w:t>
      </w:r>
    </w:p>
    <w:p/>
    <w:p>
      <w:pPr>
        <w:pStyle w:val="Heading2"/>
      </w:pPr>
      <w:r>
        <w:t xml:space="preserve">3.1 Load File</w:t>
      </w:r>
    </w:p>
    <w:p>
      <w:r>
        <w:t xml:space="preserve">Select </w:t>
      </w:r>
      <w:r>
        <w:rPr>
          <w:b/>
          <w:bCs/>
        </w:rPr>
        <w:t xml:space="preserve">File &gt; Load File</w:t>
      </w:r>
      <w:r>
        <w:t xml:space="preserve"> (or press </w:t>
      </w:r>
      <w:r>
        <w:rPr>
          <w:b/>
          <w:bCs/>
        </w:rPr>
        <w:t xml:space="preserve">Ctrl+O</w:t>
      </w:r>
      <w:r>
        <w:t xml:space="preserve">) to open a native Windows file picker. Choose a single file to add its tags to the tree. The status bar updates to show the total number of files loaded.</w:t>
      </w:r>
    </w:p>
    <w:p/>
    <w:p>
      <w:pPr>
        <w:pStyle w:val="Heading2"/>
      </w:pPr>
      <w:r>
        <w:t xml:space="preserve">3.2 Load Folder</w:t>
      </w:r>
    </w:p>
    <w:p>
      <w:r>
        <w:t xml:space="preserve">Select </w:t>
      </w:r>
      <w:r>
        <w:rPr>
          <w:b/>
          <w:bCs/>
        </w:rPr>
        <w:t xml:space="preserve">File &gt; Load Folder</w:t>
      </w:r>
      <w:r>
        <w:t xml:space="preserve"> (or press </w:t>
      </w:r>
      <w:r>
        <w:rPr>
          <w:b/>
          <w:bCs/>
        </w:rPr>
        <w:t xml:space="preserve">Ctrl+Shift+O</w:t>
      </w:r>
      <w:r>
        <w:t xml:space="preserve">) to open a native Windows folder picker. dicomhdr first scans the directory tree to count all DICOM files, then parses them in sequence. A progress bar appears in the status area and advances as each file is loaded; it disappears automatically when the folder load is complete. The file and error counters in the status bar update throughout.</w:t>
      </w:r>
    </w:p>
    <w:p/>
    <w:p>
      <w:pPr>
        <w:pStyle w:val="Heading2"/>
      </w:pPr>
      <w:r>
        <w:t xml:space="preserve">3.3 Drag and Drop</w:t>
      </w:r>
    </w:p>
    <w:p>
      <w:r>
        <w:t xml:space="preserve">Files and folders can be dragged from Windows Explorer and dropped anywhere on the dicomhdr window. Both individual files and folder trees are supported:</w:t>
      </w:r>
    </w:p>
    <w:p>
      <w:pPr>
        <w:pStyle w:val="ListParagraph"/>
        <w:numPr>
          <w:ilvl w:val="0"/>
          <w:numId w:val="1"/>
        </w:numPr>
      </w:pPr>
      <w:r>
        <w:t xml:space="preserve">Dropping a single file loads that file if it is a valid DICOM file.</w:t>
      </w:r>
    </w:p>
    <w:p>
      <w:pPr>
        <w:pStyle w:val="ListParagraph"/>
        <w:numPr>
          <w:ilvl w:val="0"/>
          <w:numId w:val="1"/>
        </w:numPr>
      </w:pPr>
      <w:r>
        <w:t xml:space="preserve">Dropping a folder recursively scans it and loads all DICOM files within.</w:t>
      </w:r>
    </w:p>
    <w:p>
      <w:pPr>
        <w:pStyle w:val="ListParagraph"/>
        <w:numPr>
          <w:ilvl w:val="0"/>
          <w:numId w:val="1"/>
        </w:numPr>
      </w:pPr>
      <w:r>
        <w:t xml:space="preserve">Multiple items can be dropped at once; each is processed in turn.</w:t>
      </w:r>
    </w:p>
    <w:p/>
    <w:p>
      <w:pPr>
        <w:pStyle w:val="Heading2"/>
      </w:pPr>
      <w:r>
        <w:t xml:space="preserve">3.4 Load Errors</w:t>
      </w:r>
    </w:p>
    <w:p>
      <w:r>
        <w:t xml:space="preserve">Files that fail to parse are counted separately in the status bar (</w:t>
      </w:r>
      <w:r>
        <w:rPr>
          <w:b/>
          <w:bCs/>
        </w:rPr>
        <w:t xml:space="preserve">Errors: N</w:t>
      </w:r>
      <w:r>
        <w:t xml:space="preserve">). To review the full list of failed paths and error messages, select </w:t>
      </w:r>
      <w:r>
        <w:rPr>
          <w:b/>
          <w:bCs/>
        </w:rPr>
        <w:t xml:space="preserve">Options &gt; Show load errors…</w:t>
      </w:r>
      <w:r>
        <w:t xml:space="preserve">.</w:t>
      </w:r>
    </w:p>
    <w:p/>
    <w:p>
      <w:pPr>
        <w:pStyle w:val="Heading2"/>
      </w:pPr>
      <w:r>
        <w:t>3.5 Parsing Behaviour</w:t>
      </w:r>
    </w:p>
    <w:p>
      <w:pPr/>
      <w:r>
        <w:t>To keep loading fast and resilient, dicomhdr reads only the header of each DICOM file:</w:t>
      </w:r>
    </w:p>
    <w:p>
      <w:pPr/>
      <w:r>
        <w:t>Pixel data is not read. Because dicomhdr inspects headers and never displays image content, the pixel-data payload — usually the largest part of an image file — is skipped during parsing. This makes loading large studies substantially faster and greatly reduces memory use. The Pixel Data tag (7FE0,0010) still appears in the tree, with its value shown as [pixel data — not read].</w:t>
      </w:r>
    </w:p>
    <w:p>
      <w:pPr/>
      <w:r>
        <w:t>Slightly malformed files are tolerated. Files with a mismatched pixel-data length, a missing file-meta group-length element, or an unrecognised specific character set are loaded rather than rejected outright.</w:t>
      </w:r>
    </w:p>
    <w:p>
      <w:pPr/>
      <w:r>
        <w:t>A corrupt file cannot crash the application. Each file is parsed defensively. If parsing fails — even on severely malformed input — that file is recorded in the load-error log (see 3.4 Load Errors) and the remaining files continue to load.</w:t>
      </w:r>
    </w:p>
    <w:p>
      <w:pPr/>
      <w:r>
        <w:t>One load runs at a time. While a file, folder, or drag-and-drop load is in progress, starting another shows a Busy notice; wait for the current load to finish before beginning the next.</w:t>
      </w:r>
    </w:p>
    <w:p>
      <w:pPr>
        <w:pStyle w:val="Heading1"/>
      </w:pPr>
      <w:r>
        <w:t xml:space="preserve">4. The Tag Tree</w:t>
      </w:r>
    </w:p>
    <w:p>
      <w:pPr>
        <w:pStyle w:val="Heading2"/>
      </w:pPr>
      <w:r>
        <w:t xml:space="preserve">4.1 Tree Structure</w:t>
      </w:r>
    </w:p>
    <w:p>
      <w:r>
        <w:t xml:space="preserve">Each row in the tree represents one DICOM data element. Sequence elements (value representation SQ) are expandable branches whose children are the nested items of that sequence. All other elements are leaf nodes.</w:t>
      </w:r>
    </w:p>
    <w:p/>
    <w:p>
      <w:r>
        <w:t>Loaded files are organised hierarchically under four structural levels: Patient &gt; Study &gt; Series &gt; Instance. Each instance node contains the DICOM tags from that file. Instance nodes are labelled by their position within the series: dicomhdr determines the image plane from Image Orientation Patient (0020,0037) and shows the matching coordinate from Image Position Patient (0020,0032) — labelled Axial location, Sagittal location, or Coronal location accordingly. When orientation information is unavailable it falls back to Slice Location (0020,1041), and finally to Instance Number (0020,0013).</w:t>
      </w:r>
    </w:p>
    <w:p/>
    <w:p>
      <w:r>
        <w:t xml:space="preserve">Click the expand arrow next to any branch row to reveal its children. Sequences may be nested to arbitrary depth; each level can be independently expanded or collapsed.</w:t>
      </w:r>
    </w:p>
    <w:p/>
    <w:p>
      <w:pPr>
        <w:pStyle w:val="Heading2"/>
      </w:pPr>
      <w:r>
        <w:t xml:space="preserve">4.2 Tag Color Coding</w:t>
      </w:r>
    </w:p>
    <w:p>
      <w:r>
        <w:t xml:space="preserve">Tag rows are colored according to the following priority order (highest priority first):</w:t>
      </w:r>
    </w:p>
    <w:p>
      <w:pPr>
        <w:pStyle w:val="ListParagraph"/>
        <w:numPr>
          <w:ilvl w:val="0"/>
          <w:numId w:val="1"/>
        </w:numPr>
      </w:pPr>
      <w:r>
        <w:rPr>
          <w:b/>
          <w:bCs/>
        </w:rPr>
        <w:t xml:space="preserve">Malformed tag color</w:t>
      </w:r>
      <w:r>
        <w:t xml:space="preserve"> — a tag whose value representation (VR) in the file does not match any of the DICOM standard's acceptable VRs for that tag (applicable in explicit VR transfer syntaxes only) is rendered in the malformed tag color. The default color is red. See Section 9.2 to change this color.</w:t>
      </w:r>
    </w:p>
    <w:p>
      <w:pPr>
        <w:pStyle w:val="ListParagraph"/>
        <w:numPr>
          <w:ilvl w:val="0"/>
          <w:numId w:val="1"/>
        </w:numPr>
      </w:pPr>
      <w:r>
        <w:rPr>
          <w:b/>
          <w:bCs/>
        </w:rPr>
        <w:t xml:space="preserve">Profile color</w:t>
      </w:r>
      <w:r>
        <w:t xml:space="preserve"> — if a tag is listed in an enabled Tag Profile, it is rendered in that profile's configured color. When a tag matches multiple enabled profiles, the first matching profile in the list wins.</w:t>
      </w:r>
    </w:p>
    <w:p>
      <w:pPr>
        <w:pStyle w:val="ListParagraph"/>
        <w:numPr>
          <w:ilvl w:val="0"/>
          <w:numId w:val="1"/>
        </w:numPr>
      </w:pPr>
      <w:r>
        <w:rPr>
          <w:b/>
          <w:bCs/>
        </w:rPr>
        <w:t xml:space="preserve">Default foreground color</w:t>
      </w:r>
      <w:r>
        <w:t xml:space="preserve"> — tags that are neither malformed nor matched by a profile are rendered in the standard theme foreground color.</w:t>
      </w:r>
    </w:p>
    <w:p/>
    <w:p>
      <w:pPr>
        <w:pStyle w:val="Heading2"/>
      </w:pPr>
      <w:r>
        <w:t xml:space="preserve">4.3 Private Tags</w:t>
      </w:r>
    </w:p>
    <w:p>
      <w:r>
        <w:t xml:space="preserve">DICOM private tags are those whose group number is odd (e.g., group 0009, 0019). When the </w:t>
      </w:r>
      <w:r>
        <w:rPr>
          <w:b/>
          <w:bCs/>
        </w:rPr>
        <w:t xml:space="preserve">Italicize private tags</w:t>
      </w:r>
      <w:r>
        <w:t xml:space="preserve"> option is enabled (see Section 9.2), private tag rows are displayed in italic text, making them visually distinct from standard public tags.</w:t>
      </w:r>
    </w:p>
    <w:p/>
    <w:p>
      <w:pPr>
        <w:pStyle w:val="Heading2"/>
      </w:pPr>
      <w:r>
        <w:t xml:space="preserve">4.4 Tag Tooltips</w:t>
      </w:r>
    </w:p>
    <w:p>
      <w:r>
        <w:t xml:space="preserve">Hovering the mouse cursor over a tag row for approximately 0.6 seconds displays a tooltip popup containing the DICOM standard definition for that tag:</w:t>
      </w:r>
    </w:p>
    <w:p>
      <w:pPr>
        <w:pStyle w:val="ListParagraph"/>
        <w:numPr>
          <w:ilvl w:val="0"/>
          <w:numId w:val="1"/>
        </w:numPr>
      </w:pPr>
      <w:r>
        <w:rPr>
          <w:b/>
          <w:bCs/>
        </w:rPr>
        <w:t xml:space="preserve">Tag</w:t>
      </w:r>
      <w:r>
        <w:t xml:space="preserve"> — the (group,element) address in hexadecimal.</w:t>
      </w:r>
    </w:p>
    <w:p>
      <w:pPr>
        <w:pStyle w:val="ListParagraph"/>
        <w:numPr>
          <w:ilvl w:val="0"/>
          <w:numId w:val="1"/>
        </w:numPr>
      </w:pPr>
      <w:r>
        <w:rPr>
          <w:b/>
          <w:bCs/>
        </w:rPr>
        <w:t xml:space="preserve">Name</w:t>
      </w:r>
      <w:r>
        <w:t xml:space="preserve"> — the human-readable attribute name from the DICOM data dictionary.</w:t>
      </w:r>
    </w:p>
    <w:p>
      <w:pPr>
        <w:pStyle w:val="ListParagraph"/>
        <w:numPr>
          <w:ilvl w:val="0"/>
          <w:numId w:val="1"/>
        </w:numPr>
      </w:pPr>
      <w:r>
        <w:rPr>
          <w:b/>
          <w:bCs/>
        </w:rPr>
        <w:t xml:space="preserve">Keyword</w:t>
      </w:r>
      <w:r>
        <w:t xml:space="preserve"> — the camelCase machine-readable keyword.</w:t>
      </w:r>
    </w:p>
    <w:p>
      <w:pPr>
        <w:pStyle w:val="ListParagraph"/>
        <w:numPr>
          <w:ilvl w:val="0"/>
          <w:numId w:val="1"/>
        </w:numPr>
      </w:pPr>
      <w:r>
        <w:rPr>
          <w:b/>
          <w:bCs/>
        </w:rPr>
        <w:t xml:space="preserve">VR</w:t>
      </w:r>
      <w:r>
        <w:t xml:space="preserve"> — the value representation(s) permitted by the standard for this tag.</w:t>
      </w:r>
    </w:p>
    <w:p>
      <w:pPr>
        <w:pStyle w:val="ListParagraph"/>
        <w:numPr>
          <w:ilvl w:val="0"/>
          <w:numId w:val="1"/>
        </w:numPr>
      </w:pPr>
      <w:r>
        <w:rPr>
          <w:b/>
          <w:bCs/>
        </w:rPr>
        <w:t xml:space="preserve">VM</w:t>
      </w:r>
      <w:r>
        <w:t xml:space="preserve"> — the value multiplicity (number of values allowed).</w:t>
      </w:r>
    </w:p>
    <w:p/>
    <w:p>
      <w:r>
        <w:t xml:space="preserve">Tooltips are shown only for standard public tags present in the DICOM 2024b data dictionary. Private tags, structural tree nodes (Patient, Study, Series, Instance, Item), and tags not found in the dictionary do not produce a tooltip. Moving the mouse out of the row dismisses the tooltip immediately.</w:t>
      </w:r>
    </w:p>
    <w:p/>
    <w:p>
      <w:pPr>
        <w:pStyle w:val="Heading1"/>
      </w:pPr>
      <w:r>
        <w:t xml:space="preserve">5. Search and Filter</w:t>
      </w:r>
    </w:p>
    <w:p>
      <w:r>
        <w:t xml:space="preserve">The search bar runs across the top of the tag tree. It allows the visible tree to be narrowed to rows whose label contains a given substring.</w:t>
      </w:r>
    </w:p>
    <w:p/>
    <w:p>
      <w:pPr>
        <w:pStyle w:val="Heading2"/>
      </w:pPr>
      <w:r>
        <w:t xml:space="preserve">5.1 Filtering the Tree</w:t>
      </w:r>
    </w:p>
    <w:p>
      <w:r>
        <w:t xml:space="preserve">Type any text into the search field and click </w:t>
      </w:r>
      <w:r>
        <w:rPr>
          <w:b/>
          <w:bCs/>
        </w:rPr>
        <w:t xml:space="preserve">Search</w:t>
      </w:r>
      <w:r>
        <w:t xml:space="preserve"> (or press </w:t>
      </w:r>
      <w:r>
        <w:rPr>
          <w:b/>
          <w:bCs/>
        </w:rPr>
        <w:t xml:space="preserve">Enter</w:t>
      </w:r>
      <w:r>
        <w:t xml:space="preserve">, or press </w:t>
      </w:r>
      <w:r>
        <w:rPr>
          <w:b/>
          <w:bCs/>
        </w:rPr>
        <w:t xml:space="preserve">Ctrl+F</w:t>
      </w:r>
      <w:r>
        <w:t xml:space="preserve"> to focus the field first). The tree redraws to show only rows whose label contains the typed text (case-insensitive). Ancestor branch nodes that contain a matching descendant are always shown, even if they do not themselves match.</w:t>
      </w:r>
    </w:p>
    <w:p/>
    <w:p>
      <w:r>
        <w:t xml:space="preserve">When a filter is applied, all visible branches are automatically expanded so that matching rows are visible without manual navigation. Click </w:t>
      </w:r>
      <w:r>
        <w:rPr>
          <w:b/>
          <w:bCs/>
        </w:rPr>
        <w:t xml:space="preserve">Clear</w:t>
      </w:r>
      <w:r>
        <w:t xml:space="preserve"> to remove the filter and restore the full tree.</w:t>
      </w:r>
    </w:p>
    <w:p/>
    <w:p>
      <w:pPr>
        <w:pStyle w:val="Heading2"/>
      </w:pPr>
      <w:r>
        <w:t xml:space="preserve">5.2 Expand All and Collapse All</w:t>
      </w:r>
    </w:p>
    <w:p>
      <w:r>
        <w:t xml:space="preserve">The </w:t>
      </w:r>
      <w:r>
        <w:rPr>
          <w:b/>
          <w:bCs/>
        </w:rPr>
        <w:t xml:space="preserve">Expand All</w:t>
      </w:r>
      <w:r>
        <w:t xml:space="preserve"> and </w:t>
      </w:r>
      <w:r>
        <w:rPr>
          <w:b/>
          <w:bCs/>
        </w:rPr>
        <w:t xml:space="preserve">Collapse All</w:t>
      </w:r>
      <w:r>
        <w:t xml:space="preserve"> buttons appear at the left side of the search bar and act on the entire tree, independent of any active filter:</w:t>
      </w:r>
    </w:p>
    <w:p>
      <w:pPr>
        <w:pStyle w:val="ListParagraph"/>
        <w:numPr>
          <w:ilvl w:val="0"/>
          <w:numId w:val="1"/>
        </w:numPr>
      </w:pPr>
      <w:r>
        <w:rPr>
          <w:b/>
          <w:bCs/>
        </w:rPr>
        <w:t xml:space="preserve">Expand All</w:t>
      </w:r>
      <w:r>
        <w:t xml:space="preserve"> — opens every branch in the tree simultaneously.</w:t>
      </w:r>
    </w:p>
    <w:p>
      <w:pPr>
        <w:pStyle w:val="ListParagraph"/>
        <w:numPr>
          <w:ilvl w:val="0"/>
          <w:numId w:val="1"/>
        </w:numPr>
      </w:pPr>
      <w:r>
        <w:rPr>
          <w:b/>
          <w:bCs/>
        </w:rPr>
        <w:t xml:space="preserve">Collapse All</w:t>
      </w:r>
      <w:r>
        <w:t xml:space="preserve"> — closes all branches, leaving only the top-level Patient nodes visible.</w:t>
      </w:r>
    </w:p>
    <w:p/>
    <w:p>
      <w:pPr>
        <w:pStyle w:val="Heading1"/>
      </w:pPr>
      <w:r>
        <w:t xml:space="preserve">6. Copying Tag Data</w:t>
      </w:r>
    </w:p>
    <w:p>
      <w:r>
        <w:t xml:space="preserve">dicomhdr provides two mechanisms for copying tag content to the clipboard.</w:t>
      </w:r>
    </w:p>
    <w:p/>
    <w:p>
      <w:pPr>
        <w:pStyle w:val="Heading2"/>
      </w:pPr>
      <w:r>
        <w:t xml:space="preserve">6.1 Keyboard Shortcut</w:t>
      </w:r>
    </w:p>
    <w:p>
      <w:r>
        <w:t xml:space="preserve">Click any row to select it, then press </w:t>
      </w:r>
      <w:r>
        <w:rPr>
          <w:b/>
          <w:bCs/>
        </w:rPr>
        <w:t xml:space="preserve">Ctrl+C</w:t>
      </w:r>
      <w:r>
        <w:t xml:space="preserve">. The full label text of the selected row is placed on the clipboard. The label includes the tag address, VR, name, and value in the format:</w:t>
      </w:r>
    </w:p>
    <w:p>
      <w:r>
        <w:rPr>
          <w:b/>
          <w:bCs/>
        </w:rPr>
        <w:t xml:space="preserve">(GGGG,EEEE) [VR] Name: Value</w:t>
      </w:r>
    </w:p>
    <w:p/>
    <w:p>
      <w:pPr>
        <w:pStyle w:val="Heading2"/>
      </w:pPr>
      <w:r>
        <w:t xml:space="preserve">6.2 Right-Click Context Menu</w:t>
      </w:r>
    </w:p>
    <w:p>
      <w:r>
        <w:t xml:space="preserve">Right-click any row in the tree to open a context menu with two options:</w:t>
      </w:r>
    </w:p>
    <w:p>
      <w:pPr>
        <w:pStyle w:val="ListParagraph"/>
        <w:numPr>
          <w:ilvl w:val="0"/>
          <w:numId w:val="1"/>
        </w:numPr>
      </w:pPr>
      <w:r>
        <w:rPr>
          <w:b/>
          <w:bCs/>
        </w:rPr>
        <w:t xml:space="preserve">Copy row</w:t>
      </w:r>
      <w:r>
        <w:t xml:space="preserve"> — copies the full label text of the row (same as Ctrl+C).</w:t>
      </w:r>
    </w:p>
    <w:p>
      <w:pPr>
        <w:pStyle w:val="ListParagraph"/>
        <w:numPr>
          <w:ilvl w:val="0"/>
          <w:numId w:val="1"/>
        </w:numPr>
      </w:pPr>
      <w:r>
        <w:rPr>
          <w:b/>
          <w:bCs/>
        </w:rPr>
        <w:t xml:space="preserve">Copy value</w:t>
      </w:r>
      <w:r>
        <w:t xml:space="preserve"> — copies only the value portion of the label (the text after the first ": "). For sequence branch rows that have no explicit value, the full label is copied instead.</w:t>
      </w:r>
    </w:p>
    <w:p/>
    <w:p>
      <w:pPr>
        <w:pStyle w:val="Heading1"/>
      </w:pPr>
      <w:r>
        <w:t xml:space="preserve">7. Exporting Data</w:t>
      </w:r>
    </w:p>
    <w:p>
      <w:r>
        <w:t xml:space="preserve">The </w:t>
      </w:r>
      <w:r>
        <w:rPr>
          <w:b/>
          <w:bCs/>
        </w:rPr>
        <w:t xml:space="preserve">File &gt; Export</w:t>
      </w:r>
      <w:r>
        <w:t xml:space="preserve"> submenu writes the entire loaded tag tree to a file. Export is available only when at least one file has been loaded. A native Windows save dialog prompts for the output path; the appropriate file extension is appended automatically if not provided.</w:t>
      </w:r>
    </w:p>
    <w:p/>
    <w:p>
      <w:r>
        <w:t xml:space="preserve">The export always walks the complete dataset regardless of any active search filter.</w:t>
      </w:r>
    </w:p>
    <w:p/>
    <w:p>
      <w:pPr>
        <w:pStyle w:val="Heading2"/>
      </w:pPr>
      <w:r>
        <w:t xml:space="preserve">7.1 Plain Text</w:t>
      </w:r>
    </w:p>
    <w:p>
      <w:r>
        <w:t xml:space="preserve">Select </w:t>
      </w:r>
      <w:r>
        <w:rPr>
          <w:b/>
          <w:bCs/>
        </w:rPr>
        <w:t xml:space="preserve">File &gt; Export &gt; Plain Text…</w:t>
      </w:r>
      <w:r>
        <w:t xml:space="preserve"> to save a .txt file. Each tag is written on its own line, indented by two spaces per tree level. This format mirrors the visual appearance of the expanded tree.</w:t>
      </w:r>
    </w:p>
    <w:p/>
    <w:p>
      <w:pPr>
        <w:pStyle w:val="Heading2"/>
      </w:pPr>
      <w:r>
        <w:t xml:space="preserve">7.2 CSV</w:t>
      </w:r>
    </w:p>
    <w:p>
      <w:r>
        <w:t xml:space="preserve">Select </w:t>
      </w:r>
      <w:r>
        <w:rPr>
          <w:b/>
          <w:bCs/>
        </w:rPr>
        <w:t xml:space="preserve">File &gt; Export &gt; CSV…</w:t>
      </w:r>
      <w:r>
        <w:t xml:space="preserve"> to save a .csv file. The first row is a header. Each subsequent row represents one tag and contains five columns:</w:t>
      </w:r>
    </w:p>
    <w:tbl>
      <w:tblPr>
        <w:tblStyle w:val="TableGrid"/>
        <w:tblW w:w="0" w:type="auto"/>
      </w:tblPr>
      <w:tblGrid>
        <w:gridCol w:w="1200"/>
        <w:gridCol w:w="6300"/>
      </w:tblGrid>
      <w:tr>
        <w:trPr>
          <w:tblHeader/>
        </w:trPr>
        <w:tc>
          <w:tcPr>
            <w:tcW w:w="1200" w:type="dxa"/>
          </w:tcPr>
          <w:p>
            <w:r>
              <w:rPr>
                <w:b/>
                <w:bCs/>
              </w:rPr>
              <w:t xml:space="preserve">Column</w:t>
            </w:r>
          </w:p>
        </w:tc>
        <w:tc>
          <w:tcPr>
            <w:tcW w:w="6300" w:type="dxa"/>
          </w:tcPr>
          <w:p>
            <w:r>
              <w:rPr>
                <w:b/>
                <w:bCs/>
              </w:rPr>
              <w:t xml:space="preserve">Content</w:t>
            </w:r>
          </w:p>
        </w:tc>
      </w:tr>
      <w:tr>
        <w:tc>
          <w:tcPr>
            <w:tcW w:w="1200" w:type="dxa"/>
          </w:tcPr>
          <w:p>
            <w:r>
              <w:t xml:space="preserve">Depth</w:t>
            </w:r>
          </w:p>
        </w:tc>
        <w:tc>
          <w:tcPr>
            <w:tcW w:w="6300" w:type="dxa"/>
          </w:tcPr>
          <w:p>
            <w:r>
              <w:t xml:space="preserve">Zero-based integer representing the nesting level (0 = Patient, 1 = Study, etc.).</w:t>
            </w:r>
          </w:p>
        </w:tc>
      </w:tr>
      <w:tr>
        <w:tc>
          <w:tcPr>
            <w:tcW w:w="1200" w:type="dxa"/>
          </w:tcPr>
          <w:p>
            <w:r>
              <w:t xml:space="preserve">Tag</w:t>
            </w:r>
          </w:p>
        </w:tc>
        <w:tc>
          <w:tcPr>
            <w:tcW w:w="6300" w:type="dxa"/>
          </w:tcPr>
          <w:p>
            <w:r>
              <w:t xml:space="preserve">The tag address in GGGG,EEEE format. Empty for structural nodes (Patient, Study, Series, Instance, Item).</w:t>
            </w:r>
          </w:p>
        </w:tc>
      </w:tr>
      <w:tr>
        <w:tc>
          <w:tcPr>
            <w:tcW w:w="1200" w:type="dxa"/>
          </w:tcPr>
          <w:p>
            <w:r>
              <w:t xml:space="preserve">VR</w:t>
            </w:r>
          </w:p>
        </w:tc>
        <w:tc>
          <w:tcPr>
            <w:tcW w:w="6300" w:type="dxa"/>
          </w:tcPr>
          <w:p>
            <w:r>
              <w:t xml:space="preserve">The value representation string (e.g. LO, UI, SQ). Empty for structural nodes.</w:t>
            </w:r>
          </w:p>
        </w:tc>
      </w:tr>
      <w:tr>
        <w:tc>
          <w:tcPr>
            <w:tcW w:w="1200" w:type="dxa"/>
          </w:tcPr>
          <w:p>
            <w:r>
              <w:t xml:space="preserve">Name</w:t>
            </w:r>
          </w:p>
        </w:tc>
        <w:tc>
          <w:tcPr>
            <w:tcW w:w="6300" w:type="dxa"/>
          </w:tcPr>
          <w:p>
            <w:r>
              <w:t xml:space="preserve">The attribute name, or the structural label (e.g. "Patient's Name", "Chest PA").</w:t>
            </w:r>
          </w:p>
        </w:tc>
      </w:tr>
      <w:tr>
        <w:tc>
          <w:tcPr>
            <w:tcW w:w="1200" w:type="dxa"/>
          </w:tcPr>
          <w:p>
            <w:r>
              <w:t xml:space="preserve">Value</w:t>
            </w:r>
          </w:p>
        </w:tc>
        <w:tc>
          <w:tcPr>
            <w:tcW w:w="6300" w:type="dxa"/>
          </w:tcPr>
          <w:p>
            <w:r>
              <w:t xml:space="preserve">The decoded tag value. Empty for sequence branches and structural nodes.</w:t>
            </w:r>
          </w:p>
        </w:tc>
      </w:tr>
    </w:tbl>
    <w:p/>
    <w:p>
      <w:pPr>
        <w:pStyle w:val="Heading2"/>
      </w:pPr>
      <w:r>
        <w:t xml:space="preserve">7.3 JSON</w:t>
      </w:r>
    </w:p>
    <w:p>
      <w:r>
        <w:t xml:space="preserve">Select </w:t>
      </w:r>
      <w:r>
        <w:rPr>
          <w:b/>
          <w:bCs/>
        </w:rPr>
        <w:t xml:space="preserve">File &gt; Export &gt; JSON…</w:t>
      </w:r>
      <w:r>
        <w:t xml:space="preserve"> to save a .json file containing a JSON array of objects. Each object has two fields:</w:t>
      </w:r>
    </w:p>
    <w:p>
      <w:pPr>
        <w:pStyle w:val="ListParagraph"/>
        <w:numPr>
          <w:ilvl w:val="0"/>
          <w:numId w:val="1"/>
        </w:numPr>
      </w:pPr>
      <w:r>
        <w:rPr>
          <w:b/>
          <w:bCs/>
        </w:rPr>
        <w:t xml:space="preserve">"label"</w:t>
      </w:r>
      <w:r>
        <w:t xml:space="preserve"> — the full text label of the node.</w:t>
      </w:r>
    </w:p>
    <w:p>
      <w:pPr>
        <w:pStyle w:val="ListParagraph"/>
        <w:numPr>
          <w:ilvl w:val="0"/>
          <w:numId w:val="1"/>
        </w:numPr>
      </w:pPr>
      <w:r>
        <w:rPr>
          <w:b/>
          <w:bCs/>
        </w:rPr>
        <w:t xml:space="preserve">"children"</w:t>
      </w:r>
      <w:r>
        <w:t xml:space="preserve"> — an array of child node objects, or absent if the node has no children.</w:t>
      </w:r>
    </w:p>
    <w:p/>
    <w:p>
      <w:r>
        <w:t xml:space="preserve">The hierarchy mirrors the tree structure: Patient &gt; Study &gt; Series &gt; Instance &gt; Tags &gt; Sequence items.</w:t>
      </w:r>
    </w:p>
    <w:p/>
    <w:p>
      <w:pPr>
        <w:pStyle w:val="Heading1"/>
      </w:pPr>
      <w:r>
        <w:t xml:space="preserve">8. Menus</w:t>
      </w:r>
    </w:p>
    <w:p>
      <w:pPr>
        <w:pStyle w:val="Heading2"/>
      </w:pPr>
      <w:r>
        <w:t xml:space="preserve">8.1 File Menu</w:t>
      </w:r>
    </w:p>
    <w:tbl>
      <w:tblPr>
        <w:tblStyle w:val="TableGrid"/>
        <w:tblW w:w="0" w:type="auto"/>
      </w:tblPr>
      <w:tblGrid>
        <w:gridCol w:w="2200"/>
        <w:gridCol w:w="5300"/>
      </w:tblGrid>
      <w:tr>
        <w:trPr>
          <w:tblHeader/>
        </w:trPr>
        <w:tc>
          <w:tcPr>
            <w:tcW w:w="2200" w:type="dxa"/>
          </w:tcPr>
          <w:p>
            <w:r>
              <w:rPr>
                <w:b/>
                <w:bCs/>
              </w:rPr>
              <w:t xml:space="preserve">Item</w:t>
            </w:r>
          </w:p>
        </w:tc>
        <w:tc>
          <w:tcPr>
            <w:tcW w:w="5300" w:type="dxa"/>
          </w:tcPr>
          <w:p>
            <w:r>
              <w:rPr>
                <w:b/>
                <w:bCs/>
              </w:rPr>
              <w:t xml:space="preserve">Description</w:t>
            </w:r>
          </w:p>
        </w:tc>
      </w:tr>
      <w:tr>
        <w:tc>
          <w:tcPr>
            <w:tcW w:w="2200" w:type="dxa"/>
          </w:tcPr>
          <w:p>
            <w:r>
              <w:t xml:space="preserve">Load File</w:t>
            </w:r>
          </w:p>
        </w:tc>
        <w:tc>
          <w:tcPr>
            <w:tcW w:w="5300" w:type="dxa"/>
          </w:tcPr>
          <w:p>
            <w:r>
              <w:t xml:space="preserve">Opens a native Windows file picker to load a single DICOM file. Keyboard shortcut: Ctrl+O.</w:t>
            </w:r>
          </w:p>
        </w:tc>
      </w:tr>
      <w:tr>
        <w:tc>
          <w:tcPr>
            <w:tcW w:w="2200" w:type="dxa"/>
          </w:tcPr>
          <w:p>
            <w:r>
              <w:t xml:space="preserve">Load Folder</w:t>
            </w:r>
          </w:p>
        </w:tc>
        <w:tc>
          <w:tcPr>
            <w:tcW w:w="5300" w:type="dxa"/>
          </w:tcPr>
          <w:p>
            <w:r>
              <w:t xml:space="preserve">Opens a native Windows folder picker and recursively loads all DICOM files in the selected directory tree. Keyboard shortcut: Ctrl+Shift+O.</w:t>
            </w:r>
          </w:p>
        </w:tc>
      </w:tr>
      <w:tr>
        <w:tc>
          <w:tcPr>
            <w:tcW w:w="2200" w:type="dxa"/>
          </w:tcPr>
          <w:p>
            <w:r>
              <w:t xml:space="preserve">Export &gt; Plain Text…</w:t>
            </w:r>
          </w:p>
        </w:tc>
        <w:tc>
          <w:tcPr>
            <w:tcW w:w="5300" w:type="dxa"/>
          </w:tcPr>
          <w:p>
            <w:r>
              <w:t xml:space="preserve">Exports the full tag tree to an indented plain-text file.</w:t>
            </w:r>
          </w:p>
        </w:tc>
      </w:tr>
      <w:tr>
        <w:tc>
          <w:tcPr>
            <w:tcW w:w="2200" w:type="dxa"/>
          </w:tcPr>
          <w:p>
            <w:r>
              <w:t xml:space="preserve">Export &gt; CSV…</w:t>
            </w:r>
          </w:p>
        </w:tc>
        <w:tc>
          <w:tcPr>
            <w:tcW w:w="5300" w:type="dxa"/>
          </w:tcPr>
          <w:p>
            <w:r>
              <w:t xml:space="preserve">Exports the full tag tree to a CSV file with Depth, Tag, VR, Name, and Value columns.</w:t>
            </w:r>
          </w:p>
        </w:tc>
      </w:tr>
      <w:tr>
        <w:tc>
          <w:tcPr>
            <w:tcW w:w="2200" w:type="dxa"/>
          </w:tcPr>
          <w:p>
            <w:r>
              <w:t xml:space="preserve">Export &gt; JSON…</w:t>
            </w:r>
          </w:p>
        </w:tc>
        <w:tc>
          <w:tcPr>
            <w:tcW w:w="5300" w:type="dxa"/>
          </w:tcPr>
          <w:p>
            <w:r>
              <w:t xml:space="preserve">Exports the full tag tree to a hierarchical JSON file.</w:t>
            </w:r>
          </w:p>
        </w:tc>
      </w:tr>
      <w:tr>
        <w:tc>
          <w:tcPr>
            <w:tcW w:w="2200" w:type="dxa"/>
          </w:tcPr>
          <w:p>
            <w:r>
              <w:t xml:space="preserve">Preferences</w:t>
            </w:r>
          </w:p>
        </w:tc>
        <w:tc>
          <w:tcPr>
            <w:tcW w:w="5300" w:type="dxa"/>
          </w:tcPr>
          <w:p>
            <w:r>
              <w:t xml:space="preserve">Opens the Preferences dialog. See Section 9.</w:t>
            </w:r>
          </w:p>
        </w:tc>
      </w:tr>
      <w:tr>
        <w:tc>
          <w:tcPr>
            <w:tcW w:w="2200" w:type="dxa"/>
          </w:tcPr>
          <w:p>
            <w:r>
              <w:t xml:space="preserve">Quit</w:t>
            </w:r>
          </w:p>
        </w:tc>
        <w:tc>
          <w:tcPr>
            <w:tcW w:w="5300" w:type="dxa"/>
          </w:tcPr>
          <w:p>
            <w:r>
              <w:t xml:space="preserve">Exits the application.</w:t>
            </w:r>
          </w:p>
        </w:tc>
      </w:tr>
    </w:tbl>
    <w:p/>
    <w:p>
      <w:pPr>
        <w:pStyle w:val="Heading2"/>
      </w:pPr>
      <w:r>
        <w:t xml:space="preserve">8.2 Options Menu</w:t>
      </w:r>
    </w:p>
    <w:tbl>
      <w:tblPr>
        <w:tblStyle w:val="TableGrid"/>
        <w:tblW w:w="0" w:type="auto"/>
      </w:tblPr>
      <w:tblGrid>
        <w:gridCol w:w="2200"/>
        <w:gridCol w:w="5300"/>
      </w:tblGrid>
      <w:tr>
        <w:trPr>
          <w:tblHeader/>
        </w:trPr>
        <w:tc>
          <w:tcPr>
            <w:tcW w:w="2200" w:type="dxa"/>
          </w:tcPr>
          <w:p>
            <w:r>
              <w:rPr>
                <w:b/>
                <w:bCs/>
              </w:rPr>
              <w:t xml:space="preserve">Item</w:t>
            </w:r>
          </w:p>
        </w:tc>
        <w:tc>
          <w:tcPr>
            <w:tcW w:w="5300" w:type="dxa"/>
          </w:tcPr>
          <w:p>
            <w:r>
              <w:rPr>
                <w:b/>
                <w:bCs/>
              </w:rPr>
              <w:t xml:space="preserve">Description</w:t>
            </w:r>
          </w:p>
        </w:tc>
      </w:tr>
      <w:tr>
        <w:tc>
          <w:tcPr>
            <w:tcW w:w="2200" w:type="dxa"/>
          </w:tcPr>
          <w:p>
            <w:r>
              <w:t xml:space="preserve">Refresh</w:t>
            </w:r>
          </w:p>
        </w:tc>
        <w:tc>
          <w:tcPr>
            <w:tcW w:w="5300" w:type="dxa"/>
          </w:tcPr>
          <w:p>
            <w:r>
              <w:t xml:space="preserve">Redraws the entire tag tree. Use this if the display appears stale after changing Preferences settings.</w:t>
            </w:r>
          </w:p>
        </w:tc>
      </w:tr>
      <w:tr>
        <w:tc>
          <w:tcPr>
            <w:tcW w:w="2200" w:type="dxa"/>
          </w:tcPr>
          <w:p>
            <w:r>
              <w:t xml:space="preserve">Show load errors…</w:t>
            </w:r>
          </w:p>
        </w:tc>
        <w:tc>
          <w:tcPr>
            <w:tcW w:w="5300" w:type="dxa"/>
          </w:tcPr>
          <w:p>
            <w:r>
              <w:t xml:space="preserve">Opens a dialog listing the path and error message for every file that failed to load in the current session. Displays a confirmation if no errors have been recorded.</w:t>
            </w:r>
          </w:p>
        </w:tc>
      </w:tr>
      <w:tr>
        <w:tc>
          <w:tcPr>
            <w:tcW w:w="2200" w:type="dxa"/>
          </w:tcPr>
          <w:p>
            <w:r>
              <w:t xml:space="preserve">Clear All</w:t>
            </w:r>
          </w:p>
        </w:tc>
        <w:tc>
          <w:tcPr>
            <w:tcW w:w="5300" w:type="dxa"/>
          </w:tcPr>
          <w:p>
            <w:r>
              <w:t xml:space="preserve">Removes all loaded files from the tree and resets all counters to zero. This action cannot be undone; files must be reloaded if needed again.</w:t>
            </w:r>
          </w:p>
        </w:tc>
      </w:tr>
    </w:tbl>
    <w:p/>
    <w:p>
      <w:pPr>
        <w:pStyle w:val="Heading1"/>
      </w:pPr>
      <w:r>
        <w:t xml:space="preserve">9. Keyboard Shortcuts</w:t>
      </w:r>
    </w:p>
    <w:tbl>
      <w:tblPr>
        <w:tblStyle w:val="TableGrid"/>
        <w:tblW w:w="0" w:type="auto"/>
      </w:tblPr>
      <w:tblGrid>
        <w:gridCol w:w="2200"/>
        <w:gridCol w:w="5300"/>
      </w:tblGrid>
      <w:tr>
        <w:trPr>
          <w:tblHeader/>
        </w:trPr>
        <w:tc>
          <w:tcPr>
            <w:tcW w:w="2200" w:type="dxa"/>
          </w:tcPr>
          <w:p>
            <w:r>
              <w:rPr>
                <w:b/>
                <w:bCs/>
              </w:rPr>
              <w:t xml:space="preserve">Shortcut</w:t>
            </w:r>
          </w:p>
        </w:tc>
        <w:tc>
          <w:tcPr>
            <w:tcW w:w="5300" w:type="dxa"/>
          </w:tcPr>
          <w:p>
            <w:r>
              <w:rPr>
                <w:b/>
                <w:bCs/>
              </w:rPr>
              <w:t xml:space="preserve">Action</w:t>
            </w:r>
          </w:p>
        </w:tc>
      </w:tr>
      <w:tr>
        <w:tc>
          <w:tcPr>
            <w:tcW w:w="2200" w:type="dxa"/>
          </w:tcPr>
          <w:p>
            <w:r>
              <w:t xml:space="preserve">Ctrl+O</w:t>
            </w:r>
          </w:p>
        </w:tc>
        <w:tc>
          <w:tcPr>
            <w:tcW w:w="5300" w:type="dxa"/>
          </w:tcPr>
          <w:p>
            <w:r>
              <w:t xml:space="preserve">Load File — opens the native file picker.</w:t>
            </w:r>
          </w:p>
        </w:tc>
      </w:tr>
      <w:tr>
        <w:tc>
          <w:tcPr>
            <w:tcW w:w="2200" w:type="dxa"/>
          </w:tcPr>
          <w:p>
            <w:r>
              <w:t xml:space="preserve">Ctrl+Shift+O</w:t>
            </w:r>
          </w:p>
        </w:tc>
        <w:tc>
          <w:tcPr>
            <w:tcW w:w="5300" w:type="dxa"/>
          </w:tcPr>
          <w:p>
            <w:r>
              <w:t xml:space="preserve">Load Folder — opens the native folder picker.</w:t>
            </w:r>
          </w:p>
        </w:tc>
      </w:tr>
      <w:tr>
        <w:tc>
          <w:tcPr>
            <w:tcW w:w="2200" w:type="dxa"/>
          </w:tcPr>
          <w:p>
            <w:r>
              <w:t xml:space="preserve">Ctrl+F</w:t>
            </w:r>
          </w:p>
        </w:tc>
        <w:tc>
          <w:tcPr>
            <w:tcW w:w="5300" w:type="dxa"/>
          </w:tcPr>
          <w:p>
            <w:r>
              <w:t xml:space="preserve">Focus the search bar so you can begin typing a filter immediately.</w:t>
            </w:r>
          </w:p>
        </w:tc>
      </w:tr>
      <w:tr>
        <w:tc>
          <w:tcPr>
            <w:tcW w:w="2200" w:type="dxa"/>
          </w:tcPr>
          <w:p>
            <w:r>
              <w:t xml:space="preserve">Enter (in search bar)</w:t>
            </w:r>
          </w:p>
        </w:tc>
        <w:tc>
          <w:tcPr>
            <w:tcW w:w="5300" w:type="dxa"/>
          </w:tcPr>
          <w:p>
            <w:r>
              <w:t xml:space="preserve">Apply the current search filter.</w:t>
            </w:r>
          </w:p>
        </w:tc>
      </w:tr>
      <w:tr>
        <w:tc>
          <w:tcPr>
            <w:tcW w:w="2200" w:type="dxa"/>
          </w:tcPr>
          <w:p>
            <w:r>
              <w:t xml:space="preserve">Ctrl+C</w:t>
            </w:r>
          </w:p>
        </w:tc>
        <w:tc>
          <w:tcPr>
            <w:tcW w:w="5300" w:type="dxa"/>
          </w:tcPr>
          <w:p>
            <w:r>
              <w:t xml:space="preserve">Copy the full label of the currently selected tag row to the clipboard.</w:t>
            </w:r>
          </w:p>
        </w:tc>
      </w:tr>
    </w:tbl>
    <w:p/>
    <w:p>
      <w:pPr>
        <w:pStyle w:val="Heading1"/>
      </w:pPr>
      <w:r>
        <w:t xml:space="preserve">10. Preferences</w:t>
      </w:r>
    </w:p>
    <w:p>
      <w:r>
        <w:t xml:space="preserve">Open the Preferences dialog from </w:t>
      </w:r>
      <w:r>
        <w:rPr>
          <w:b/>
          <w:bCs/>
        </w:rPr>
        <w:t xml:space="preserve">File &gt; Preferences</w:t>
      </w:r>
      <w:r>
        <w:t xml:space="preserve">. The dialog is divided into two sections: </w:t>
      </w:r>
      <w:r>
        <w:rPr>
          <w:b/>
          <w:bCs/>
        </w:rPr>
        <w:t xml:space="preserve">UI</w:t>
      </w:r>
      <w:r>
        <w:t xml:space="preserve"> and </w:t>
      </w:r>
      <w:r>
        <w:rPr>
          <w:b/>
          <w:bCs/>
        </w:rPr>
        <w:t xml:space="preserve">Tag Highlights</w:t>
      </w:r>
      <w:r>
        <w:t xml:space="preserve">. Changes take effect when </w:t>
      </w:r>
      <w:r>
        <w:rPr>
          <w:b/>
          <w:bCs/>
        </w:rPr>
        <w:t xml:space="preserve">Apply</w:t>
      </w:r>
      <w:r>
        <w:t xml:space="preserve"> is clicked and are written immediately to disk. Clicking </w:t>
      </w:r>
      <w:r>
        <w:rPr>
          <w:b/>
          <w:bCs/>
        </w:rPr>
        <w:t xml:space="preserve">Cancel</w:t>
      </w:r>
      <w:r>
        <w:t xml:space="preserve"> discards all pending changes.</w:t>
      </w:r>
    </w:p>
    <w:p/>
    <w:p>
      <w:pPr>
        <w:pStyle w:val="Heading2"/>
      </w:pPr>
      <w:r>
        <w:t xml:space="preserve">10.1 UI Section</w:t>
      </w:r>
    </w:p>
    <w:p>
      <w:r>
        <w:t xml:space="preserve">The UI section controls the visual appearance of the application.</w:t>
      </w:r>
    </w:p>
    <w:p/>
    <w:tbl>
      <w:tblPr>
        <w:tblStyle w:val="TableGrid"/>
        <w:tblW w:w="0" w:type="auto"/>
      </w:tblPr>
      <w:tblGrid>
        <w:gridCol w:w="2000"/>
        <w:gridCol w:w="5500"/>
      </w:tblGrid>
      <w:tr>
        <w:trPr>
          <w:tblHeader/>
        </w:trPr>
        <w:tc>
          <w:tcPr>
            <w:tcW w:w="2000" w:type="dxa"/>
          </w:tcPr>
          <w:p>
            <w:r>
              <w:rPr>
                <w:b/>
                <w:bCs/>
              </w:rPr>
              <w:t xml:space="preserve">Setting</w:t>
            </w:r>
          </w:p>
        </w:tc>
        <w:tc>
          <w:tcPr>
            <w:tcW w:w="5500" w:type="dxa"/>
          </w:tcPr>
          <w:p>
            <w:r>
              <w:rPr>
                <w:b/>
                <w:bCs/>
              </w:rPr>
              <w:t xml:space="preserve">Description</w:t>
            </w:r>
          </w:p>
        </w:tc>
      </w:tr>
      <w:tr>
        <w:tc>
          <w:tcPr>
            <w:tcW w:w="2000" w:type="dxa"/>
          </w:tcPr>
          <w:p>
            <w:r>
              <w:t xml:space="preserve">Theme</w:t>
            </w:r>
          </w:p>
        </w:tc>
        <w:tc>
          <w:tcPr>
            <w:tcW w:w="5500" w:type="dxa"/>
          </w:tcPr>
          <w:p>
            <w:r>
              <w:t xml:space="preserve">Selects the application color theme. Choose Light or Dark. The selected theme applies immediately to all UI elements, including the menu bar, tag tree, and status bar.</w:t>
            </w:r>
          </w:p>
        </w:tc>
      </w:tr>
      <w:tr>
        <w:tc>
          <w:tcPr>
            <w:tcW w:w="2000" w:type="dxa"/>
          </w:tcPr>
          <w:p>
            <w:r>
              <w:t xml:space="preserve">Tree font</w:t>
            </w:r>
          </w:p>
        </w:tc>
        <w:tc>
          <w:tcPr>
            <w:tcW w:w="5500" w:type="dxa"/>
          </w:tcPr>
          <w:p>
            <w:r>
              <w:t xml:space="preserve">Selects the font used to render tag rows in the tree. The dropdown lists all TrueType (.ttf) and OpenType (.otf) fonts installed on the system. Select (default) to use the application's built-in font.</w:t>
            </w:r>
          </w:p>
        </w:tc>
      </w:tr>
    </w:tbl>
    <w:p/>
    <w:p>
      <w:pPr>
        <w:pStyle w:val="Heading2"/>
      </w:pPr>
      <w:r>
        <w:t xml:space="preserve">10.2 Tag Highlights Section</w:t>
      </w:r>
    </w:p>
    <w:p>
      <w:r>
        <w:t xml:space="preserve">The Tag Highlights section controls how individual tags are visually distinguished in the tree.</w:t>
      </w:r>
    </w:p>
    <w:p/>
    <w:tbl>
      <w:tblPr>
        <w:tblStyle w:val="TableGrid"/>
        <w:tblW w:w="0" w:type="auto"/>
      </w:tblPr>
      <w:tblGrid>
        <w:gridCol w:w="2400"/>
        <w:gridCol w:w="5100"/>
      </w:tblGrid>
      <w:tr>
        <w:trPr>
          <w:tblHeader/>
        </w:trPr>
        <w:tc>
          <w:tcPr>
            <w:tcW w:w="2400" w:type="dxa"/>
          </w:tcPr>
          <w:p>
            <w:r>
              <w:rPr>
                <w:b/>
                <w:bCs/>
              </w:rPr>
              <w:t xml:space="preserve">Setting</w:t>
            </w:r>
          </w:p>
        </w:tc>
        <w:tc>
          <w:tcPr>
            <w:tcW w:w="5100" w:type="dxa"/>
          </w:tcPr>
          <w:p>
            <w:r>
              <w:rPr>
                <w:b/>
                <w:bCs/>
              </w:rPr>
              <w:t xml:space="preserve">Description</w:t>
            </w:r>
          </w:p>
        </w:tc>
      </w:tr>
      <w:tr>
        <w:tc>
          <w:tcPr>
            <w:tcW w:w="2400" w:type="dxa"/>
          </w:tcPr>
          <w:p>
            <w:r>
              <w:t xml:space="preserve">Italicize private tags</w:t>
            </w:r>
          </w:p>
        </w:tc>
        <w:tc>
          <w:tcPr>
            <w:tcW w:w="5100" w:type="dxa"/>
          </w:tcPr>
          <w:p>
            <w:r>
              <w:t xml:space="preserve">When checked, DICOM private tags (odd group number) are rendered in italic text in the tag tree.</w:t>
            </w:r>
          </w:p>
        </w:tc>
      </w:tr>
      <w:tr>
        <w:tc>
          <w:tcPr>
            <w:tcW w:w="2400" w:type="dxa"/>
          </w:tcPr>
          <w:p>
            <w:r>
              <w:t xml:space="preserve">Malformed tag color</w:t>
            </w:r>
          </w:p>
        </w:tc>
        <w:tc>
          <w:tcPr>
            <w:tcW w:w="5100" w:type="dxa"/>
          </w:tcPr>
          <w:p>
            <w:r>
              <w:t xml:space="preserve">The highlight color for tags whose VR in the file does not match the DICOM standard for that tag (explicit VR transfer syntax only). Click Change... to open the color picker. The color swatch to the left of the button previews the current selection.</w:t>
            </w:r>
          </w:p>
        </w:tc>
      </w:tr>
    </w:tbl>
    <w:p/>
    <w:p>
      <w:pPr>
        <w:pStyle w:val="Heading2"/>
      </w:pPr>
      <w:r>
        <w:t xml:space="preserve">10.3 Tag Profiles</w:t>
      </w:r>
    </w:p>
    <w:p>
      <w:r>
        <w:t xml:space="preserve">Tag Profiles are named sets of DICOM tags that are rendered in a designated color in the tree. Profiles are useful for quickly identifying categories of tags, such as patient demographics, acquisition parameters, or operator-entered data.</w:t>
      </w:r>
    </w:p>
    <w:p/>
    <w:p>
      <w:r>
        <w:t xml:space="preserve">The profile list displays all defined profiles. Each entry shows:</w:t>
      </w:r>
    </w:p>
    <w:p>
      <w:pPr>
        <w:pStyle w:val="ListParagraph"/>
        <w:numPr>
          <w:ilvl w:val="0"/>
          <w:numId w:val="1"/>
        </w:numPr>
      </w:pPr>
      <w:r>
        <w:t xml:space="preserve">An enable/disable checkbox. Disabled profiles are still stored but their color highlighting is not applied.</w:t>
      </w:r>
    </w:p>
    <w:p>
      <w:pPr>
        <w:pStyle w:val="ListParagraph"/>
        <w:numPr>
          <w:ilvl w:val="0"/>
          <w:numId w:val="1"/>
        </w:numPr>
      </w:pPr>
      <w:r>
        <w:t xml:space="preserve">The profile name.</w:t>
      </w:r>
    </w:p>
    <w:p>
      <w:pPr>
        <w:pStyle w:val="ListParagraph"/>
        <w:numPr>
          <w:ilvl w:val="0"/>
          <w:numId w:val="1"/>
        </w:numPr>
      </w:pPr>
      <w:r>
        <w:rPr>
          <w:b/>
          <w:bCs/>
        </w:rPr>
        <w:t xml:space="preserve">Edit</w:t>
      </w:r>
      <w:r>
        <w:t xml:space="preserve"> — opens the profile editor dialog for this profile.</w:t>
      </w:r>
    </w:p>
    <w:p>
      <w:pPr>
        <w:pStyle w:val="ListParagraph"/>
        <w:numPr>
          <w:ilvl w:val="0"/>
          <w:numId w:val="1"/>
        </w:numPr>
      </w:pPr>
      <w:r>
        <w:rPr>
          <w:b/>
          <w:bCs/>
        </w:rPr>
        <w:t xml:space="preserve">Delete</w:t>
      </w:r>
      <w:r>
        <w:t xml:space="preserve"> — removes the profile from the list. The removal is committed to disk when Apply is clicked.</w:t>
      </w:r>
    </w:p>
    <w:p/>
    <w:p>
      <w:pPr>
        <w:pStyle w:val="Heading3"/>
      </w:pPr>
      <w:r>
        <w:t xml:space="preserve">10.3.1 Adding a Profile</w:t>
      </w:r>
    </w:p>
    <w:p>
      <w:r>
        <w:t xml:space="preserve">Click </w:t>
      </w:r>
      <w:r>
        <w:rPr>
          <w:b/>
          <w:bCs/>
        </w:rPr>
        <w:t xml:space="preserve">Add profile...</w:t>
      </w:r>
      <w:r>
        <w:t xml:space="preserve"> below the profile list. A profile editor dialog opens with default values (name: "New Profile", color: blue). Configure the profile and click </w:t>
      </w:r>
      <w:r>
        <w:rPr>
          <w:b/>
          <w:bCs/>
        </w:rPr>
        <w:t xml:space="preserve">Save</w:t>
      </w:r>
      <w:r>
        <w:t xml:space="preserve"> to add it to the list.</w:t>
      </w:r>
    </w:p>
    <w:p/>
    <w:p>
      <w:pPr>
        <w:pStyle w:val="Heading3"/>
      </w:pPr>
      <w:r>
        <w:t xml:space="preserve">10.3.2 Editing a Profile</w:t>
      </w:r>
    </w:p>
    <w:p>
      <w:r>
        <w:t xml:space="preserve">Click </w:t>
      </w:r>
      <w:r>
        <w:rPr>
          <w:b/>
          <w:bCs/>
        </w:rPr>
        <w:t xml:space="preserve">Edit</w:t>
      </w:r>
      <w:r>
        <w:t xml:space="preserve"> on any row in the profile list. The profile editor opens pre-populated with the current profile values.</w:t>
      </w:r>
    </w:p>
    <w:p/>
    <w:p>
      <w:r>
        <w:t xml:space="preserve">The profile editor contains three fields:</w:t>
      </w:r>
    </w:p>
    <w:p>
      <w:pPr>
        <w:pStyle w:val="ListParagraph"/>
        <w:numPr>
          <w:ilvl w:val="0"/>
          <w:numId w:val="1"/>
        </w:numPr>
      </w:pPr>
      <w:r>
        <w:rPr>
          <w:b/>
          <w:bCs/>
        </w:rPr>
        <w:t xml:space="preserve">Name</w:t>
      </w:r>
      <w:r>
        <w:t xml:space="preserve"> — a free-text label for the profile.</w:t>
      </w:r>
    </w:p>
    <w:p>
      <w:pPr>
        <w:pStyle w:val="ListParagraph"/>
        <w:numPr>
          <w:ilvl w:val="0"/>
          <w:numId w:val="1"/>
        </w:numPr>
      </w:pPr>
      <w:r>
        <w:rPr>
          <w:b/>
          <w:bCs/>
        </w:rPr>
        <w:t xml:space="preserve">Color</w:t>
      </w:r>
      <w:r>
        <w:t xml:space="preserve"> — the highlight color applied to matched tags in the tree. Click </w:t>
      </w:r>
      <w:r>
        <w:rPr>
          <w:b/>
          <w:bCs/>
        </w:rPr>
        <w:t xml:space="preserve">Change...</w:t>
      </w:r>
      <w:r>
        <w:t xml:space="preserve"> to open a color picker.</w:t>
      </w:r>
    </w:p>
    <w:p>
      <w:pPr>
        <w:pStyle w:val="ListParagraph"/>
        <w:numPr>
          <w:ilvl w:val="0"/>
          <w:numId w:val="1"/>
        </w:numPr>
      </w:pPr>
      <w:r>
        <w:rPr>
          <w:b/>
          <w:bCs/>
        </w:rPr>
        <w:t xml:space="preserve">Tags</w:t>
      </w:r>
      <w:r>
        <w:t xml:space="preserve"> — a list of DICOM tags to highlight, one per line. Each tag must be entered in </w:t>
      </w:r>
      <w:r>
        <w:rPr>
          <w:b/>
          <w:bCs/>
        </w:rPr>
        <w:t xml:space="preserve">GGGG,EEEE</w:t>
      </w:r>
      <w:r>
        <w:t xml:space="preserve"> hexadecimal format, where GGGG is the four-digit group number and EEEE is the four-digit element number. Leading zeros are required. For example:</w:t>
      </w:r>
    </w:p>
    <w:p>
      <w:pPr>
        <w:pStyle w:val="ListParagraph"/>
        <w:numPr>
          <w:ilvl w:val="1"/>
          <w:numId w:val="1"/>
        </w:numPr>
      </w:pPr>
      <w:r>
        <w:t xml:space="preserve">0010,0010   (Patient's Name)</w:t>
      </w:r>
    </w:p>
    <w:p>
      <w:pPr>
        <w:pStyle w:val="ListParagraph"/>
        <w:numPr>
          <w:ilvl w:val="1"/>
          <w:numId w:val="1"/>
        </w:numPr>
      </w:pPr>
      <w:r>
        <w:t xml:space="preserve">0010,0020   (Patient ID)</w:t>
      </w:r>
    </w:p>
    <w:p>
      <w:pPr>
        <w:pStyle w:val="ListParagraph"/>
        <w:numPr>
          <w:ilvl w:val="1"/>
          <w:numId w:val="1"/>
        </w:numPr>
      </w:pPr>
      <w:r>
        <w:t xml:space="preserve">0008,0090   (Referring Physician's Name)</w:t>
      </w:r>
    </w:p>
    <w:p/>
    <w:p>
      <w:r>
        <w:t xml:space="preserve">Click </w:t>
      </w:r>
      <w:r>
        <w:rPr>
          <w:b/>
          <w:bCs/>
        </w:rPr>
        <w:t xml:space="preserve">Save</w:t>
      </w:r>
      <w:r>
        <w:t xml:space="preserve"> to apply changes, or </w:t>
      </w:r>
      <w:r>
        <w:rPr>
          <w:b/>
          <w:bCs/>
        </w:rPr>
        <w:t xml:space="preserve">Cancel</w:t>
      </w:r>
      <w:r>
        <w:t xml:space="preserve"> to discard them. If the Tags field contains an invalid entry, an error is shown and the dialog remains open.</w:t>
      </w:r>
    </w:p>
    <w:p/>
    <w:p>
      <w:pPr>
        <w:pStyle w:val="Heading3"/>
      </w:pPr>
      <w:r>
        <w:t xml:space="preserve">10.3.3 Deleting a Profile</w:t>
      </w:r>
    </w:p>
    <w:p>
      <w:r>
        <w:t xml:space="preserve">Click </w:t>
      </w:r>
      <w:r>
        <w:rPr>
          <w:b/>
          <w:bCs/>
        </w:rPr>
        <w:t xml:space="preserve">Delete</w:t>
      </w:r>
      <w:r>
        <w:t xml:space="preserve"> on a profile row to remove it from the list. The change is not written to disk until </w:t>
      </w:r>
      <w:r>
        <w:rPr>
          <w:b/>
          <w:bCs/>
        </w:rPr>
        <w:t xml:space="preserve">Apply</w:t>
      </w:r>
      <w:r>
        <w:t xml:space="preserve"> is clicked. Clicking </w:t>
      </w:r>
      <w:r>
        <w:rPr>
          <w:b/>
          <w:bCs/>
        </w:rPr>
        <w:t xml:space="preserve">Cancel</w:t>
      </w:r>
      <w:r>
        <w:t xml:space="preserve"> instead restores the original profile list.</w:t>
      </w:r>
    </w:p>
    <w:p/>
    <w:p>
      <w:pPr>
        <w:pStyle w:val="Heading1"/>
      </w:pPr>
      <w:r>
        <w:t xml:space="preserve">11. Status Bar</w:t>
      </w:r>
    </w:p>
    <w:p>
      <w:r>
        <w:t xml:space="preserve">The status bar at the bottom of the main window contains three elements:</w:t>
      </w:r>
    </w:p>
    <w:p>
      <w:pPr>
        <w:pStyle w:val="ListParagraph"/>
        <w:numPr>
          <w:ilvl w:val="0"/>
          <w:numId w:val="1"/>
        </w:numPr>
      </w:pPr>
      <w:r>
        <w:rPr>
          <w:b/>
          <w:bCs/>
        </w:rPr>
        <w:t xml:space="preserve">Left side</w:t>
      </w:r>
      <w:r>
        <w:t xml:space="preserve"> — shows </w:t>
      </w:r>
      <w:r>
        <w:rPr>
          <w:b/>
          <w:bCs/>
        </w:rPr>
        <w:t>v1.0.5</w:t>
      </w:r>
      <w:r>
        <w:t xml:space="preserve"> when no files are loaded. After files have been opened, this changes to </w:t>
      </w:r>
      <w:r>
        <w:rPr>
          <w:b/>
          <w:bCs/>
        </w:rPr>
        <w:t xml:space="preserve">Files loaded: N</w:t>
      </w:r>
      <w:r>
        <w:t xml:space="preserve">, where N is the count of successfully parsed files. If any files failed to load, the text additionally shows </w:t>
      </w:r>
      <w:r>
        <w:rPr>
          <w:b/>
          <w:bCs/>
        </w:rPr>
        <w:t xml:space="preserve">| Errors: M</w:t>
      </w:r>
      <w:r>
        <w:t xml:space="preserve">.</w:t>
      </w:r>
    </w:p>
    <w:p>
      <w:pPr>
        <w:pStyle w:val="ListParagraph"/>
        <w:numPr>
          <w:ilvl w:val="0"/>
          <w:numId w:val="1"/>
        </w:numPr>
      </w:pPr>
      <w:r>
        <w:rPr>
          <w:b/>
          <w:bCs/>
        </w:rPr>
        <w:t xml:space="preserve">Right side</w:t>
      </w:r>
      <w:r>
        <w:t xml:space="preserve"> — shows the current date and time in </w:t>
      </w:r>
      <w:r>
        <w:rPr>
          <w:b/>
          <w:bCs/>
        </w:rPr>
        <w:t xml:space="preserve">YYYY-MM-DD  HH:MM:SS</w:t>
      </w:r>
      <w:r>
        <w:t xml:space="preserve"> format, updated every second.</w:t>
      </w:r>
    </w:p>
    <w:p>
      <w:pPr>
        <w:pStyle w:val="ListParagraph"/>
        <w:numPr>
          <w:ilvl w:val="0"/>
          <w:numId w:val="1"/>
        </w:numPr>
      </w:pPr>
      <w:r>
        <w:rPr>
          <w:b/>
          <w:bCs/>
        </w:rPr>
        <w:t>Progress bar – an animated progress bar appears below the status text during folder loads and disappears when the load is complete. Files are added to the tree as they are parsed, so rows appear while the folder is still loading; the Files loaded: N count to the left reports progress. The progress bar is not shown for single-file loads or drag-and-drop of individual files.</w:t>
      </w:r>
      <w:r/>
    </w:p>
    <w:p/>
    <w:p>
      <w:pPr>
        <w:pStyle w:val="Heading1"/>
      </w:pPr>
      <w:r>
        <w:t xml:space="preserve">Appendix A: Default Settings</w:t>
      </w:r>
    </w:p>
    <w:p>
      <w:r>
        <w:t xml:space="preserve">Application settings are persisted to </w:t>
      </w:r>
      <w:r>
        <w:rPr>
          <w:b/>
          <w:bCs/>
        </w:rPr>
        <w:t xml:space="preserve">%USERPROFILE%\.dcomhdr\settings.json</w:t>
      </w:r>
      <w:r>
        <w:t xml:space="preserve">. This file is created automatically on first launch, populated with the compiled-in defaults shown below. You can edit the file manually; it is standard JSON and uses the same </w:t>
      </w:r>
      <w:r>
        <w:rPr>
          <w:b/>
          <w:bCs/>
        </w:rPr>
        <w:t xml:space="preserve">GGGG,EEEE</w:t>
      </w:r>
      <w:r>
        <w:t xml:space="preserve"> hexadecimal tag format that the Preferences dialog accepts.</w:t>
      </w:r>
    </w:p>
    <w:p/>
    <w:tbl>
      <w:tblPr>
        <w:tblStyle w:val="TableGrid"/>
        <w:tblW w:w="0" w:type="auto"/>
      </w:tblPr>
      <w:tblGrid>
        <w:gridCol w:w="1900"/>
        <w:gridCol w:w="1700"/>
        <w:gridCol w:w="3900"/>
      </w:tblGrid>
      <w:tr>
        <w:trPr>
          <w:tblHeader/>
        </w:trPr>
        <w:tc>
          <w:tcPr>
            <w:tcW w:w="1900" w:type="dxa"/>
          </w:tcPr>
          <w:p>
            <w:r>
              <w:rPr>
                <w:b/>
                <w:bCs/>
              </w:rPr>
              <w:t xml:space="preserve">Setting (JSON key)</w:t>
            </w:r>
          </w:p>
        </w:tc>
        <w:tc>
          <w:tcPr>
            <w:tcW w:w="1700" w:type="dxa"/>
          </w:tcPr>
          <w:p>
            <w:r>
              <w:rPr>
                <w:b/>
                <w:bCs/>
              </w:rPr>
              <w:t xml:space="preserve">Default value</w:t>
            </w:r>
          </w:p>
        </w:tc>
        <w:tc>
          <w:tcPr>
            <w:tcW w:w="3900" w:type="dxa"/>
          </w:tcPr>
          <w:p>
            <w:r>
              <w:rPr>
                <w:b/>
                <w:bCs/>
              </w:rPr>
              <w:t xml:space="preserve">Description</w:t>
            </w:r>
          </w:p>
        </w:tc>
      </w:tr>
      <w:tr>
        <w:tc>
          <w:tcPr>
            <w:tcW w:w="1900" w:type="dxa"/>
          </w:tcPr>
          <w:p>
            <w:r>
              <w:t xml:space="preserve">darkTheme</w:t>
            </w:r>
          </w:p>
        </w:tc>
        <w:tc>
          <w:tcPr>
            <w:tcW w:w="1700" w:type="dxa"/>
          </w:tcPr>
          <w:p>
            <w:r>
              <w:t xml:space="preserve">false</w:t>
            </w:r>
          </w:p>
        </w:tc>
        <w:tc>
          <w:tcPr>
            <w:tcW w:w="3900" w:type="dxa"/>
          </w:tcPr>
          <w:p>
            <w:r>
              <w:t xml:space="preserve">Color theme selection. false = Light theme, true = Dark theme.</w:t>
            </w:r>
          </w:p>
        </w:tc>
      </w:tr>
      <w:tr>
        <w:tc>
          <w:tcPr>
            <w:tcW w:w="1900" w:type="dxa"/>
          </w:tcPr>
          <w:p>
            <w:r>
              <w:t xml:space="preserve">fontName</w:t>
            </w:r>
          </w:p>
        </w:tc>
        <w:tc>
          <w:tcPr>
            <w:tcW w:w="1700" w:type="dxa"/>
          </w:tcPr>
          <w:p>
            <w:r>
              <w:t xml:space="preserve">""  (empty string)</w:t>
            </w:r>
          </w:p>
        </w:tc>
        <w:tc>
          <w:tcPr>
            <w:tcW w:w="3900" w:type="dxa"/>
          </w:tcPr>
          <w:p>
            <w:r>
              <w:t xml:space="preserve">Name of the system font used for tree rows. An empty string selects the application's built-in font.</w:t>
            </w:r>
          </w:p>
        </w:tc>
      </w:tr>
      <w:tr>
        <w:tc>
          <w:tcPr>
            <w:tcW w:w="1900" w:type="dxa"/>
          </w:tcPr>
          <w:p>
            <w:r>
              <w:t xml:space="preserve">italicPrivate</w:t>
            </w:r>
          </w:p>
        </w:tc>
        <w:tc>
          <w:tcPr>
            <w:tcW w:w="1700" w:type="dxa"/>
          </w:tcPr>
          <w:p>
            <w:r>
              <w:t xml:space="preserve">true</w:t>
            </w:r>
          </w:p>
        </w:tc>
        <w:tc>
          <w:tcPr>
            <w:tcW w:w="3900" w:type="dxa"/>
          </w:tcPr>
          <w:p>
            <w:r>
              <w:t xml:space="preserve">Whether DICOM private tags (odd group number) are displayed in italic.</w:t>
            </w:r>
          </w:p>
        </w:tc>
      </w:tr>
      <w:tr>
        <w:tc>
          <w:tcPr>
            <w:tcW w:w="1900" w:type="dxa"/>
          </w:tcPr>
          <w:p>
            <w:r>
              <w:t xml:space="preserve">malformedColor</w:t>
            </w:r>
          </w:p>
        </w:tc>
        <w:tc>
          <w:tcPr>
            <w:tcW w:w="1700" w:type="dxa"/>
          </w:tcPr>
          <w:p>
            <w:r>
              <w:t xml:space="preserve">"E54545FF"</w:t>
            </w:r>
          </w:p>
        </w:tc>
        <w:tc>
          <w:tcPr>
            <w:tcW w:w="3900" w:type="dxa"/>
          </w:tcPr>
          <w:p>
            <w:r>
              <w:t xml:space="preserve">Highlight color for VR-mismatched tags, encoded as an RRGGBBAA hexadecimal string. The default is opaque red.</w:t>
            </w:r>
          </w:p>
        </w:tc>
      </w:tr>
      <w:tr>
        <w:tc>
          <w:tcPr>
            <w:tcW w:w="1900" w:type="dxa"/>
          </w:tcPr>
          <w:p>
            <w:r>
              <w:t xml:space="preserve">profiles</w:t>
            </w:r>
          </w:p>
        </w:tc>
        <w:tc>
          <w:tcPr>
            <w:tcW w:w="1700" w:type="dxa"/>
          </w:tcPr>
          <w:p>
            <w:r>
              <w:t xml:space="preserve">[ PHI profile ]</w:t>
            </w:r>
          </w:p>
        </w:tc>
        <w:tc>
          <w:tcPr>
            <w:tcW w:w="3900" w:type="dxa"/>
          </w:tcPr>
          <w:p>
            <w:r>
              <w:t xml:space="preserve">JSON array of tag profile objects. Each object has name, color (RGBA), enabled flag, and a tags array of GGGG,EEEE strings. See Appendix B for the default PHI profile.</w:t>
            </w:r>
          </w:p>
        </w:tc>
      </w:tr>
    </w:tbl>
    <w:p/>
    <w:p>
      <w:pPr>
        <w:pStyle w:val="Heading1"/>
      </w:pPr>
      <w:r>
        <w:t xml:space="preserve">Appendix B: Default PHI Profile</w:t>
      </w:r>
    </w:p>
    <w:p>
      <w:r>
        <w:t xml:space="preserve">The application ships with one built-in profile named </w:t>
      </w:r>
      <w:r>
        <w:rPr>
          <w:b/>
          <w:bCs/>
        </w:rPr>
        <w:t xml:space="preserve">PHI</w:t>
      </w:r>
      <w:r>
        <w:t xml:space="preserve"> (Protected Health Information). This profile is enabled by default and highlights attributes that commonly contain patient, operator, or institutional identifying information.</w:t>
      </w:r>
    </w:p>
    <w:p/>
    <w:p>
      <w:r>
        <w:t xml:space="preserve">Profile color: orange (R:255, G:140, B:0, A:255).</w:t>
      </w:r>
    </w:p>
    <w:p/>
    <w:p>
      <w:r>
        <w:t xml:space="preserve">The table below lists all 126 tags included in the default PHI profile.</w:t>
      </w:r>
    </w:p>
    <w:p/>
    <w:tbl>
      <w:tblPr>
        <w:tblStyle w:val="TableGrid"/>
        <w:tblW w:w="0" w:type="auto"/>
      </w:tblPr>
      <w:tblGrid>
        <w:gridCol w:w="1500"/>
        <w:gridCol w:w="6000"/>
      </w:tblGrid>
      <w:tr>
        <w:trPr>
          <w:tblHeader/>
        </w:trPr>
        <w:tc>
          <w:tcPr>
            <w:tcW w:w="1500" w:type="dxa"/>
          </w:tcPr>
          <w:p>
            <w:r>
              <w:rPr>
                <w:b/>
                <w:bCs/>
              </w:rPr>
              <w:t xml:space="preserve">Tag</w:t>
            </w:r>
          </w:p>
        </w:tc>
        <w:tc>
          <w:tcPr>
            <w:tcW w:w="6000" w:type="dxa"/>
          </w:tcPr>
          <w:p>
            <w:r>
              <w:rPr>
                <w:b/>
                <w:bCs/>
              </w:rPr>
              <w:t xml:space="preserve">Description</w:t>
            </w:r>
          </w:p>
        </w:tc>
      </w:tr>
      <w:tr>
        <w:tc>
          <w:tcPr>
            <w:tcW w:w="1500" w:type="dxa"/>
          </w:tcPr>
          <w:p>
            <w:r>
              <w:t xml:space="preserve">0008,0050</w:t>
            </w:r>
          </w:p>
        </w:tc>
        <w:tc>
          <w:tcPr>
            <w:tcW w:w="6000" w:type="dxa"/>
          </w:tcPr>
          <w:p>
            <w:r>
              <w:t xml:space="preserve">Accession Number</w:t>
            </w:r>
          </w:p>
        </w:tc>
      </w:tr>
      <w:tr>
        <w:tc>
          <w:tcPr>
            <w:tcW w:w="1500" w:type="dxa"/>
          </w:tcPr>
          <w:p>
            <w:r>
              <w:t xml:space="preserve">0008,0080</w:t>
            </w:r>
          </w:p>
        </w:tc>
        <w:tc>
          <w:tcPr>
            <w:tcW w:w="6000" w:type="dxa"/>
          </w:tcPr>
          <w:p>
            <w:r>
              <w:t xml:space="preserve">Institution Name</w:t>
            </w:r>
          </w:p>
        </w:tc>
      </w:tr>
      <w:tr>
        <w:tc>
          <w:tcPr>
            <w:tcW w:w="1500" w:type="dxa"/>
          </w:tcPr>
          <w:p>
            <w:r>
              <w:t xml:space="preserve">0008,0081</w:t>
            </w:r>
          </w:p>
        </w:tc>
        <w:tc>
          <w:tcPr>
            <w:tcW w:w="6000" w:type="dxa"/>
          </w:tcPr>
          <w:p>
            <w:r>
              <w:t xml:space="preserve">Institution Address</w:t>
            </w:r>
          </w:p>
        </w:tc>
      </w:tr>
      <w:tr>
        <w:tc>
          <w:tcPr>
            <w:tcW w:w="1500" w:type="dxa"/>
          </w:tcPr>
          <w:p>
            <w:r>
              <w:t xml:space="preserve">0008,0090</w:t>
            </w:r>
          </w:p>
        </w:tc>
        <w:tc>
          <w:tcPr>
            <w:tcW w:w="6000" w:type="dxa"/>
          </w:tcPr>
          <w:p>
            <w:r>
              <w:t xml:space="preserve">Referring Physician's Name</w:t>
            </w:r>
          </w:p>
        </w:tc>
      </w:tr>
      <w:tr>
        <w:tc>
          <w:tcPr>
            <w:tcW w:w="1500" w:type="dxa"/>
          </w:tcPr>
          <w:p>
            <w:r>
              <w:t xml:space="preserve">0008,0092</w:t>
            </w:r>
          </w:p>
        </w:tc>
        <w:tc>
          <w:tcPr>
            <w:tcW w:w="6000" w:type="dxa"/>
          </w:tcPr>
          <w:p>
            <w:r>
              <w:t xml:space="preserve">Referring Physician's Address</w:t>
            </w:r>
          </w:p>
        </w:tc>
      </w:tr>
      <w:tr>
        <w:tc>
          <w:tcPr>
            <w:tcW w:w="1500" w:type="dxa"/>
          </w:tcPr>
          <w:p>
            <w:r>
              <w:t xml:space="preserve">0008,0094</w:t>
            </w:r>
          </w:p>
        </w:tc>
        <w:tc>
          <w:tcPr>
            <w:tcW w:w="6000" w:type="dxa"/>
          </w:tcPr>
          <w:p>
            <w:r>
              <w:t xml:space="preserve">Referring Physician's Telephone Numbers</w:t>
            </w:r>
          </w:p>
        </w:tc>
      </w:tr>
      <w:tr>
        <w:tc>
          <w:tcPr>
            <w:tcW w:w="1500" w:type="dxa"/>
          </w:tcPr>
          <w:p>
            <w:r>
              <w:t xml:space="preserve">0008,1010</w:t>
            </w:r>
          </w:p>
        </w:tc>
        <w:tc>
          <w:tcPr>
            <w:tcW w:w="6000" w:type="dxa"/>
          </w:tcPr>
          <w:p>
            <w:r>
              <w:t xml:space="preserve">Station Name</w:t>
            </w:r>
          </w:p>
        </w:tc>
      </w:tr>
      <w:tr>
        <w:tc>
          <w:tcPr>
            <w:tcW w:w="1500" w:type="dxa"/>
          </w:tcPr>
          <w:p>
            <w:r>
              <w:t xml:space="preserve">0008,1032</w:t>
            </w:r>
          </w:p>
        </w:tc>
        <w:tc>
          <w:tcPr>
            <w:tcW w:w="6000" w:type="dxa"/>
          </w:tcPr>
          <w:p>
            <w:r>
              <w:t xml:space="preserve">Procedure Code Sequence</w:t>
            </w:r>
          </w:p>
        </w:tc>
      </w:tr>
      <w:tr>
        <w:tc>
          <w:tcPr>
            <w:tcW w:w="1500" w:type="dxa"/>
          </w:tcPr>
          <w:p>
            <w:r>
              <w:t xml:space="preserve">0008,1040</w:t>
            </w:r>
          </w:p>
        </w:tc>
        <w:tc>
          <w:tcPr>
            <w:tcW w:w="6000" w:type="dxa"/>
          </w:tcPr>
          <w:p>
            <w:r>
              <w:t xml:space="preserve">Institutional Department Name</w:t>
            </w:r>
          </w:p>
        </w:tc>
      </w:tr>
      <w:tr>
        <w:tc>
          <w:tcPr>
            <w:tcW w:w="1500" w:type="dxa"/>
          </w:tcPr>
          <w:p>
            <w:r>
              <w:t xml:space="preserve">0008,1048</w:t>
            </w:r>
          </w:p>
        </w:tc>
        <w:tc>
          <w:tcPr>
            <w:tcW w:w="6000" w:type="dxa"/>
          </w:tcPr>
          <w:p>
            <w:r>
              <w:t xml:space="preserve">Physician(s) of Record</w:t>
            </w:r>
          </w:p>
        </w:tc>
      </w:tr>
      <w:tr>
        <w:tc>
          <w:tcPr>
            <w:tcW w:w="1500" w:type="dxa"/>
          </w:tcPr>
          <w:p>
            <w:r>
              <w:t xml:space="preserve">0008,1050</w:t>
            </w:r>
          </w:p>
        </w:tc>
        <w:tc>
          <w:tcPr>
            <w:tcW w:w="6000" w:type="dxa"/>
          </w:tcPr>
          <w:p>
            <w:r>
              <w:t xml:space="preserve">Performing Physician's Name</w:t>
            </w:r>
          </w:p>
        </w:tc>
      </w:tr>
      <w:tr>
        <w:tc>
          <w:tcPr>
            <w:tcW w:w="1500" w:type="dxa"/>
          </w:tcPr>
          <w:p>
            <w:r>
              <w:t xml:space="preserve">0008,1060</w:t>
            </w:r>
          </w:p>
        </w:tc>
        <w:tc>
          <w:tcPr>
            <w:tcW w:w="6000" w:type="dxa"/>
          </w:tcPr>
          <w:p>
            <w:r>
              <w:t xml:space="preserve">Name of Physician(s) Reading Study</w:t>
            </w:r>
          </w:p>
        </w:tc>
      </w:tr>
      <w:tr>
        <w:tc>
          <w:tcPr>
            <w:tcW w:w="1500" w:type="dxa"/>
          </w:tcPr>
          <w:p>
            <w:r>
              <w:t xml:space="preserve">0008,1070</w:t>
            </w:r>
          </w:p>
        </w:tc>
        <w:tc>
          <w:tcPr>
            <w:tcW w:w="6000" w:type="dxa"/>
          </w:tcPr>
          <w:p>
            <w:r>
              <w:t xml:space="preserve">Operators' Name</w:t>
            </w:r>
          </w:p>
        </w:tc>
      </w:tr>
      <w:tr>
        <w:tc>
          <w:tcPr>
            <w:tcW w:w="1500" w:type="dxa"/>
          </w:tcPr>
          <w:p>
            <w:r>
              <w:t xml:space="preserve">0008,1080</w:t>
            </w:r>
          </w:p>
        </w:tc>
        <w:tc>
          <w:tcPr>
            <w:tcW w:w="6000" w:type="dxa"/>
          </w:tcPr>
          <w:p>
            <w:r>
              <w:t xml:space="preserve">Admitting Diagnoses Description</w:t>
            </w:r>
          </w:p>
        </w:tc>
      </w:tr>
      <w:tr>
        <w:tc>
          <w:tcPr>
            <w:tcW w:w="1500" w:type="dxa"/>
          </w:tcPr>
          <w:p>
            <w:r>
              <w:t xml:space="preserve">0008,1100</w:t>
            </w:r>
          </w:p>
        </w:tc>
        <w:tc>
          <w:tcPr>
            <w:tcW w:w="6000" w:type="dxa"/>
          </w:tcPr>
          <w:p>
            <w:r>
              <w:t xml:space="preserve">Referenced Results Sequence</w:t>
            </w:r>
          </w:p>
        </w:tc>
      </w:tr>
      <w:tr>
        <w:tc>
          <w:tcPr>
            <w:tcW w:w="1500" w:type="dxa"/>
          </w:tcPr>
          <w:p>
            <w:r>
              <w:t xml:space="preserve">0008,1110</w:t>
            </w:r>
          </w:p>
        </w:tc>
        <w:tc>
          <w:tcPr>
            <w:tcW w:w="6000" w:type="dxa"/>
          </w:tcPr>
          <w:p>
            <w:r>
              <w:t xml:space="preserve">Referenced Study Sequence</w:t>
            </w:r>
          </w:p>
        </w:tc>
      </w:tr>
      <w:tr>
        <w:tc>
          <w:tcPr>
            <w:tcW w:w="1500" w:type="dxa"/>
          </w:tcPr>
          <w:p>
            <w:r>
              <w:t xml:space="preserve">0010,0010</w:t>
            </w:r>
          </w:p>
        </w:tc>
        <w:tc>
          <w:tcPr>
            <w:tcW w:w="6000" w:type="dxa"/>
          </w:tcPr>
          <w:p>
            <w:r>
              <w:t xml:space="preserve">Patient's Name</w:t>
            </w:r>
          </w:p>
        </w:tc>
      </w:tr>
      <w:tr>
        <w:tc>
          <w:tcPr>
            <w:tcW w:w="1500" w:type="dxa"/>
          </w:tcPr>
          <w:p>
            <w:r>
              <w:t xml:space="preserve">0010,0020</w:t>
            </w:r>
          </w:p>
        </w:tc>
        <w:tc>
          <w:tcPr>
            <w:tcW w:w="6000" w:type="dxa"/>
          </w:tcPr>
          <w:p>
            <w:r>
              <w:t xml:space="preserve">Patient ID</w:t>
            </w:r>
          </w:p>
        </w:tc>
      </w:tr>
      <w:tr>
        <w:tc>
          <w:tcPr>
            <w:tcW w:w="1500" w:type="dxa"/>
          </w:tcPr>
          <w:p>
            <w:r>
              <w:t xml:space="preserve">0010,0021</w:t>
            </w:r>
          </w:p>
        </w:tc>
        <w:tc>
          <w:tcPr>
            <w:tcW w:w="6000" w:type="dxa"/>
          </w:tcPr>
          <w:p>
            <w:r>
              <w:t xml:space="preserve">Issuer of Patient ID</w:t>
            </w:r>
          </w:p>
        </w:tc>
      </w:tr>
      <w:tr>
        <w:tc>
          <w:tcPr>
            <w:tcW w:w="1500" w:type="dxa"/>
          </w:tcPr>
          <w:p>
            <w:r>
              <w:t xml:space="preserve">0010,0022</w:t>
            </w:r>
          </w:p>
        </w:tc>
        <w:tc>
          <w:tcPr>
            <w:tcW w:w="6000" w:type="dxa"/>
          </w:tcPr>
          <w:p>
            <w:r>
              <w:t xml:space="preserve">Type of Patient ID</w:t>
            </w:r>
          </w:p>
        </w:tc>
      </w:tr>
      <w:tr>
        <w:tc>
          <w:tcPr>
            <w:tcW w:w="1500" w:type="dxa"/>
          </w:tcPr>
          <w:p>
            <w:r>
              <w:t xml:space="preserve">0010,0024</w:t>
            </w:r>
          </w:p>
        </w:tc>
        <w:tc>
          <w:tcPr>
            <w:tcW w:w="6000" w:type="dxa"/>
          </w:tcPr>
          <w:p>
            <w:r>
              <w:t xml:space="preserve">Issuer of Patient ID Qualifiers Sequence</w:t>
            </w:r>
          </w:p>
        </w:tc>
      </w:tr>
      <w:tr>
        <w:tc>
          <w:tcPr>
            <w:tcW w:w="1500" w:type="dxa"/>
          </w:tcPr>
          <w:p>
            <w:r>
              <w:t xml:space="preserve">0010,1000</w:t>
            </w:r>
          </w:p>
        </w:tc>
        <w:tc>
          <w:tcPr>
            <w:tcW w:w="6000" w:type="dxa"/>
          </w:tcPr>
          <w:p>
            <w:r>
              <w:t xml:space="preserve">Other Patient IDs</w:t>
            </w:r>
          </w:p>
        </w:tc>
      </w:tr>
      <w:tr>
        <w:tc>
          <w:tcPr>
            <w:tcW w:w="1500" w:type="dxa"/>
          </w:tcPr>
          <w:p>
            <w:r>
              <w:t xml:space="preserve">0010,1001</w:t>
            </w:r>
          </w:p>
        </w:tc>
        <w:tc>
          <w:tcPr>
            <w:tcW w:w="6000" w:type="dxa"/>
          </w:tcPr>
          <w:p>
            <w:r>
              <w:t xml:space="preserve">Other Patient Names</w:t>
            </w:r>
          </w:p>
        </w:tc>
      </w:tr>
      <w:tr>
        <w:tc>
          <w:tcPr>
            <w:tcW w:w="1500" w:type="dxa"/>
          </w:tcPr>
          <w:p>
            <w:r>
              <w:t xml:space="preserve">0010,1002</w:t>
            </w:r>
          </w:p>
        </w:tc>
        <w:tc>
          <w:tcPr>
            <w:tcW w:w="6000" w:type="dxa"/>
          </w:tcPr>
          <w:p>
            <w:r>
              <w:t xml:space="preserve">Other Patient IDs Sequence</w:t>
            </w:r>
          </w:p>
        </w:tc>
      </w:tr>
      <w:tr>
        <w:tc>
          <w:tcPr>
            <w:tcW w:w="1500" w:type="dxa"/>
          </w:tcPr>
          <w:p>
            <w:r>
              <w:t xml:space="preserve">0010,1005</w:t>
            </w:r>
          </w:p>
        </w:tc>
        <w:tc>
          <w:tcPr>
            <w:tcW w:w="6000" w:type="dxa"/>
          </w:tcPr>
          <w:p>
            <w:r>
              <w:t xml:space="preserve">Patient's Birth Name</w:t>
            </w:r>
          </w:p>
        </w:tc>
      </w:tr>
      <w:tr>
        <w:tc>
          <w:tcPr>
            <w:tcW w:w="1500" w:type="dxa"/>
          </w:tcPr>
          <w:p>
            <w:r>
              <w:t xml:space="preserve">0010,1010</w:t>
            </w:r>
          </w:p>
        </w:tc>
        <w:tc>
          <w:tcPr>
            <w:tcW w:w="6000" w:type="dxa"/>
          </w:tcPr>
          <w:p>
            <w:r>
              <w:t xml:space="preserve">Patient's Age</w:t>
            </w:r>
          </w:p>
        </w:tc>
      </w:tr>
      <w:tr>
        <w:tc>
          <w:tcPr>
            <w:tcW w:w="1500" w:type="dxa"/>
          </w:tcPr>
          <w:p>
            <w:r>
              <w:t xml:space="preserve">0010,1040</w:t>
            </w:r>
          </w:p>
        </w:tc>
        <w:tc>
          <w:tcPr>
            <w:tcW w:w="6000" w:type="dxa"/>
          </w:tcPr>
          <w:p>
            <w:r>
              <w:t xml:space="preserve">Patient's Mother's Birth Name</w:t>
            </w:r>
          </w:p>
        </w:tc>
      </w:tr>
      <w:tr>
        <w:tc>
          <w:tcPr>
            <w:tcW w:w="1500" w:type="dxa"/>
          </w:tcPr>
          <w:p>
            <w:r>
              <w:t xml:space="preserve">0010,1050</w:t>
            </w:r>
          </w:p>
        </w:tc>
        <w:tc>
          <w:tcPr>
            <w:tcW w:w="6000" w:type="dxa"/>
          </w:tcPr>
          <w:p>
            <w:r>
              <w:t xml:space="preserve">Insurance Plan Identification</w:t>
            </w:r>
          </w:p>
        </w:tc>
      </w:tr>
      <w:tr>
        <w:tc>
          <w:tcPr>
            <w:tcW w:w="1500" w:type="dxa"/>
          </w:tcPr>
          <w:p>
            <w:r>
              <w:t xml:space="preserve">0010,1060</w:t>
            </w:r>
          </w:p>
        </w:tc>
        <w:tc>
          <w:tcPr>
            <w:tcW w:w="6000" w:type="dxa"/>
          </w:tcPr>
          <w:p>
            <w:r>
              <w:t xml:space="preserve">Patient's Mother's Maiden Name</w:t>
            </w:r>
          </w:p>
        </w:tc>
      </w:tr>
      <w:tr>
        <w:tc>
          <w:tcPr>
            <w:tcW w:w="1500" w:type="dxa"/>
          </w:tcPr>
          <w:p>
            <w:r>
              <w:t xml:space="preserve">0010,1080</w:t>
            </w:r>
          </w:p>
        </w:tc>
        <w:tc>
          <w:tcPr>
            <w:tcW w:w="6000" w:type="dxa"/>
          </w:tcPr>
          <w:p>
            <w:r>
              <w:t xml:space="preserve">Military Rank</w:t>
            </w:r>
          </w:p>
        </w:tc>
      </w:tr>
      <w:tr>
        <w:tc>
          <w:tcPr>
            <w:tcW w:w="1500" w:type="dxa"/>
          </w:tcPr>
          <w:p>
            <w:r>
              <w:t xml:space="preserve">0010,1090</w:t>
            </w:r>
          </w:p>
        </w:tc>
        <w:tc>
          <w:tcPr>
            <w:tcW w:w="6000" w:type="dxa"/>
          </w:tcPr>
          <w:p>
            <w:r>
              <w:t xml:space="preserve">Medical Record Locator</w:t>
            </w:r>
          </w:p>
        </w:tc>
      </w:tr>
      <w:tr>
        <w:tc>
          <w:tcPr>
            <w:tcW w:w="1500" w:type="dxa"/>
          </w:tcPr>
          <w:p>
            <w:r>
              <w:t xml:space="preserve">0010,2000</w:t>
            </w:r>
          </w:p>
        </w:tc>
        <w:tc>
          <w:tcPr>
            <w:tcW w:w="6000" w:type="dxa"/>
          </w:tcPr>
          <w:p>
            <w:r>
              <w:t xml:space="preserve">Medical Alerts</w:t>
            </w:r>
          </w:p>
        </w:tc>
      </w:tr>
      <w:tr>
        <w:tc>
          <w:tcPr>
            <w:tcW w:w="1500" w:type="dxa"/>
          </w:tcPr>
          <w:p>
            <w:r>
              <w:t xml:space="preserve">0010,2110</w:t>
            </w:r>
          </w:p>
        </w:tc>
        <w:tc>
          <w:tcPr>
            <w:tcW w:w="6000" w:type="dxa"/>
          </w:tcPr>
          <w:p>
            <w:r>
              <w:t xml:space="preserve">Allergies</w:t>
            </w:r>
          </w:p>
        </w:tc>
      </w:tr>
      <w:tr>
        <w:tc>
          <w:tcPr>
            <w:tcW w:w="1500" w:type="dxa"/>
          </w:tcPr>
          <w:p>
            <w:r>
              <w:t xml:space="preserve">0010,2150</w:t>
            </w:r>
          </w:p>
        </w:tc>
        <w:tc>
          <w:tcPr>
            <w:tcW w:w="6000" w:type="dxa"/>
          </w:tcPr>
          <w:p>
            <w:r>
              <w:t xml:space="preserve">Country of Residence</w:t>
            </w:r>
          </w:p>
        </w:tc>
      </w:tr>
      <w:tr>
        <w:tc>
          <w:tcPr>
            <w:tcW w:w="1500" w:type="dxa"/>
          </w:tcPr>
          <w:p>
            <w:r>
              <w:t xml:space="preserve">0010,2152</w:t>
            </w:r>
          </w:p>
        </w:tc>
        <w:tc>
          <w:tcPr>
            <w:tcW w:w="6000" w:type="dxa"/>
          </w:tcPr>
          <w:p>
            <w:r>
              <w:t xml:space="preserve">Region of Residence</w:t>
            </w:r>
          </w:p>
        </w:tc>
      </w:tr>
      <w:tr>
        <w:tc>
          <w:tcPr>
            <w:tcW w:w="1500" w:type="dxa"/>
          </w:tcPr>
          <w:p>
            <w:r>
              <w:t xml:space="preserve">0010,2154</w:t>
            </w:r>
          </w:p>
        </w:tc>
        <w:tc>
          <w:tcPr>
            <w:tcW w:w="6000" w:type="dxa"/>
          </w:tcPr>
          <w:p>
            <w:r>
              <w:t xml:space="preserve">Patient's Telephone Numbers</w:t>
            </w:r>
          </w:p>
        </w:tc>
      </w:tr>
      <w:tr>
        <w:tc>
          <w:tcPr>
            <w:tcW w:w="1500" w:type="dxa"/>
          </w:tcPr>
          <w:p>
            <w:r>
              <w:t xml:space="preserve">0010,2155</w:t>
            </w:r>
          </w:p>
        </w:tc>
        <w:tc>
          <w:tcPr>
            <w:tcW w:w="6000" w:type="dxa"/>
          </w:tcPr>
          <w:p>
            <w:r>
              <w:t xml:space="preserve">Patient's Telecom Information</w:t>
            </w:r>
          </w:p>
        </w:tc>
      </w:tr>
      <w:tr>
        <w:tc>
          <w:tcPr>
            <w:tcW w:w="1500" w:type="dxa"/>
          </w:tcPr>
          <w:p>
            <w:r>
              <w:t xml:space="preserve">0010,2297</w:t>
            </w:r>
          </w:p>
        </w:tc>
        <w:tc>
          <w:tcPr>
            <w:tcW w:w="6000" w:type="dxa"/>
          </w:tcPr>
          <w:p>
            <w:r>
              <w:t xml:space="preserve">Responsible Person</w:t>
            </w:r>
          </w:p>
        </w:tc>
      </w:tr>
      <w:tr>
        <w:tc>
          <w:tcPr>
            <w:tcW w:w="1500" w:type="dxa"/>
          </w:tcPr>
          <w:p>
            <w:r>
              <w:t xml:space="preserve">0010,2298</w:t>
            </w:r>
          </w:p>
        </w:tc>
        <w:tc>
          <w:tcPr>
            <w:tcW w:w="6000" w:type="dxa"/>
          </w:tcPr>
          <w:p>
            <w:r>
              <w:t xml:space="preserve">Responsible Person Role</w:t>
            </w:r>
          </w:p>
        </w:tc>
      </w:tr>
      <w:tr>
        <w:tc>
          <w:tcPr>
            <w:tcW w:w="1500" w:type="dxa"/>
          </w:tcPr>
          <w:p>
            <w:r>
              <w:t xml:space="preserve">0010,2299</w:t>
            </w:r>
          </w:p>
        </w:tc>
        <w:tc>
          <w:tcPr>
            <w:tcW w:w="6000" w:type="dxa"/>
          </w:tcPr>
          <w:p>
            <w:r>
              <w:t xml:space="preserve">Responsible Organization</w:t>
            </w:r>
          </w:p>
        </w:tc>
      </w:tr>
      <w:tr>
        <w:tc>
          <w:tcPr>
            <w:tcW w:w="1500" w:type="dxa"/>
          </w:tcPr>
          <w:p>
            <w:r>
              <w:t xml:space="preserve">0010,21B0</w:t>
            </w:r>
          </w:p>
        </w:tc>
        <w:tc>
          <w:tcPr>
            <w:tcW w:w="6000" w:type="dxa"/>
          </w:tcPr>
          <w:p>
            <w:r>
              <w:t xml:space="preserve">Additional Patient History</w:t>
            </w:r>
          </w:p>
        </w:tc>
      </w:tr>
      <w:tr>
        <w:tc>
          <w:tcPr>
            <w:tcW w:w="1500" w:type="dxa"/>
          </w:tcPr>
          <w:p>
            <w:r>
              <w:t xml:space="preserve">0010,21F0</w:t>
            </w:r>
          </w:p>
        </w:tc>
        <w:tc>
          <w:tcPr>
            <w:tcW w:w="6000" w:type="dxa"/>
          </w:tcPr>
          <w:p>
            <w:r>
              <w:t xml:space="preserve">Patient's Religious Preference</w:t>
            </w:r>
          </w:p>
        </w:tc>
      </w:tr>
      <w:tr>
        <w:tc>
          <w:tcPr>
            <w:tcW w:w="1500" w:type="dxa"/>
          </w:tcPr>
          <w:p>
            <w:r>
              <w:t xml:space="preserve">0010,3020</w:t>
            </w:r>
          </w:p>
        </w:tc>
        <w:tc>
          <w:tcPr>
            <w:tcW w:w="6000" w:type="dxa"/>
          </w:tcPr>
          <w:p>
            <w:r>
              <w:t xml:space="preserve">Patient's Insurance Plan Code Sequence</w:t>
            </w:r>
          </w:p>
        </w:tc>
      </w:tr>
      <w:tr>
        <w:tc>
          <w:tcPr>
            <w:tcW w:w="1500" w:type="dxa"/>
          </w:tcPr>
          <w:p>
            <w:r>
              <w:t xml:space="preserve">0010,4000</w:t>
            </w:r>
          </w:p>
        </w:tc>
        <w:tc>
          <w:tcPr>
            <w:tcW w:w="6000" w:type="dxa"/>
          </w:tcPr>
          <w:p>
            <w:r>
              <w:t xml:space="preserve">Patient Comments</w:t>
            </w:r>
          </w:p>
        </w:tc>
      </w:tr>
      <w:tr>
        <w:tc>
          <w:tcPr>
            <w:tcW w:w="1500" w:type="dxa"/>
          </w:tcPr>
          <w:p>
            <w:r>
              <w:t xml:space="preserve">0018,1400</w:t>
            </w:r>
          </w:p>
        </w:tc>
        <w:tc>
          <w:tcPr>
            <w:tcW w:w="6000" w:type="dxa"/>
          </w:tcPr>
          <w:p>
            <w:r>
              <w:t xml:space="preserve">Acquisition Device Processing Description</w:t>
            </w:r>
          </w:p>
        </w:tc>
      </w:tr>
      <w:tr>
        <w:tc>
          <w:tcPr>
            <w:tcW w:w="1500" w:type="dxa"/>
          </w:tcPr>
          <w:p>
            <w:r>
              <w:t xml:space="preserve">0018,1401</w:t>
            </w:r>
          </w:p>
        </w:tc>
        <w:tc>
          <w:tcPr>
            <w:tcW w:w="6000" w:type="dxa"/>
          </w:tcPr>
          <w:p>
            <w:r>
              <w:t xml:space="preserve">Acquisition Device Processing Code</w:t>
            </w:r>
          </w:p>
        </w:tc>
      </w:tr>
      <w:tr>
        <w:tc>
          <w:tcPr>
            <w:tcW w:w="1500" w:type="dxa"/>
          </w:tcPr>
          <w:p>
            <w:r>
              <w:t xml:space="preserve">0020,4000</w:t>
            </w:r>
          </w:p>
        </w:tc>
        <w:tc>
          <w:tcPr>
            <w:tcW w:w="6000" w:type="dxa"/>
          </w:tcPr>
          <w:p>
            <w:r>
              <w:t xml:space="preserve">Image Comments</w:t>
            </w:r>
          </w:p>
        </w:tc>
      </w:tr>
      <w:tr>
        <w:tc>
          <w:tcPr>
            <w:tcW w:w="1500" w:type="dxa"/>
          </w:tcPr>
          <w:p>
            <w:r>
              <w:t xml:space="preserve">0028,0300</w:t>
            </w:r>
          </w:p>
        </w:tc>
        <w:tc>
          <w:tcPr>
            <w:tcW w:w="6000" w:type="dxa"/>
          </w:tcPr>
          <w:p>
            <w:r>
              <w:t xml:space="preserve">Quality Control Image</w:t>
            </w:r>
          </w:p>
        </w:tc>
      </w:tr>
      <w:tr>
        <w:tc>
          <w:tcPr>
            <w:tcW w:w="1500" w:type="dxa"/>
          </w:tcPr>
          <w:p>
            <w:r>
              <w:t xml:space="preserve">0032,1031</w:t>
            </w:r>
          </w:p>
        </w:tc>
        <w:tc>
          <w:tcPr>
            <w:tcW w:w="6000" w:type="dxa"/>
          </w:tcPr>
          <w:p>
            <w:r>
              <w:t xml:space="preserve">Requesting Physician Identification Sequence</w:t>
            </w:r>
          </w:p>
        </w:tc>
      </w:tr>
      <w:tr>
        <w:tc>
          <w:tcPr>
            <w:tcW w:w="1500" w:type="dxa"/>
          </w:tcPr>
          <w:p>
            <w:r>
              <w:t xml:space="preserve">0032,1032</w:t>
            </w:r>
          </w:p>
        </w:tc>
        <w:tc>
          <w:tcPr>
            <w:tcW w:w="6000" w:type="dxa"/>
          </w:tcPr>
          <w:p>
            <w:r>
              <w:t xml:space="preserve">Requesting Physician</w:t>
            </w:r>
          </w:p>
        </w:tc>
      </w:tr>
      <w:tr>
        <w:tc>
          <w:tcPr>
            <w:tcW w:w="1500" w:type="dxa"/>
          </w:tcPr>
          <w:p>
            <w:r>
              <w:t xml:space="preserve">0032,1033</w:t>
            </w:r>
          </w:p>
        </w:tc>
        <w:tc>
          <w:tcPr>
            <w:tcW w:w="6000" w:type="dxa"/>
          </w:tcPr>
          <w:p>
            <w:r>
              <w:t xml:space="preserve">Requesting Service</w:t>
            </w:r>
          </w:p>
        </w:tc>
      </w:tr>
      <w:tr>
        <w:tc>
          <w:tcPr>
            <w:tcW w:w="1500" w:type="dxa"/>
          </w:tcPr>
          <w:p>
            <w:r>
              <w:t xml:space="preserve">0038,0010</w:t>
            </w:r>
          </w:p>
        </w:tc>
        <w:tc>
          <w:tcPr>
            <w:tcW w:w="6000" w:type="dxa"/>
          </w:tcPr>
          <w:p>
            <w:r>
              <w:t xml:space="preserve">Admission ID</w:t>
            </w:r>
          </w:p>
        </w:tc>
      </w:tr>
      <w:tr>
        <w:tc>
          <w:tcPr>
            <w:tcW w:w="1500" w:type="dxa"/>
          </w:tcPr>
          <w:p>
            <w:r>
              <w:t xml:space="preserve">0038,0300</w:t>
            </w:r>
          </w:p>
        </w:tc>
        <w:tc>
          <w:tcPr>
            <w:tcW w:w="6000" w:type="dxa"/>
          </w:tcPr>
          <w:p>
            <w:r>
              <w:t xml:space="preserve">Current Patient Location</w:t>
            </w:r>
          </w:p>
        </w:tc>
      </w:tr>
      <w:tr>
        <w:tc>
          <w:tcPr>
            <w:tcW w:w="1500" w:type="dxa"/>
          </w:tcPr>
          <w:p>
            <w:r>
              <w:t xml:space="preserve">0038,0400</w:t>
            </w:r>
          </w:p>
        </w:tc>
        <w:tc>
          <w:tcPr>
            <w:tcW w:w="6000" w:type="dxa"/>
          </w:tcPr>
          <w:p>
            <w:r>
              <w:t xml:space="preserve">Patient's Institution Residence</w:t>
            </w:r>
          </w:p>
        </w:tc>
      </w:tr>
      <w:tr>
        <w:tc>
          <w:tcPr>
            <w:tcW w:w="1500" w:type="dxa"/>
          </w:tcPr>
          <w:p>
            <w:r>
              <w:t xml:space="preserve">0038,0500</w:t>
            </w:r>
          </w:p>
        </w:tc>
        <w:tc>
          <w:tcPr>
            <w:tcW w:w="6000" w:type="dxa"/>
          </w:tcPr>
          <w:p>
            <w:r>
              <w:t xml:space="preserve">Patient State</w:t>
            </w:r>
          </w:p>
        </w:tc>
      </w:tr>
      <w:tr>
        <w:tc>
          <w:tcPr>
            <w:tcW w:w="1500" w:type="dxa"/>
          </w:tcPr>
          <w:p>
            <w:r>
              <w:t xml:space="preserve">0038,4000</w:t>
            </w:r>
          </w:p>
        </w:tc>
        <w:tc>
          <w:tcPr>
            <w:tcW w:w="6000" w:type="dxa"/>
          </w:tcPr>
          <w:p>
            <w:r>
              <w:t xml:space="preserve">Visit Comments</w:t>
            </w:r>
          </w:p>
        </w:tc>
      </w:tr>
      <w:tr>
        <w:tc>
          <w:tcPr>
            <w:tcW w:w="1500" w:type="dxa"/>
          </w:tcPr>
          <w:p>
            <w:r>
              <w:t xml:space="preserve">0040,0275</w:t>
            </w:r>
          </w:p>
        </w:tc>
        <w:tc>
          <w:tcPr>
            <w:tcW w:w="6000" w:type="dxa"/>
          </w:tcPr>
          <w:p>
            <w:r>
              <w:t xml:space="preserve">Request Attributes Sequence</w:t>
            </w:r>
          </w:p>
        </w:tc>
      </w:tr>
      <w:tr>
        <w:tc>
          <w:tcPr>
            <w:tcW w:w="1500" w:type="dxa"/>
          </w:tcPr>
          <w:p>
            <w:r>
              <w:t xml:space="preserve">0040,1001</w:t>
            </w:r>
          </w:p>
        </w:tc>
        <w:tc>
          <w:tcPr>
            <w:tcW w:w="6000" w:type="dxa"/>
          </w:tcPr>
          <w:p>
            <w:r>
              <w:t xml:space="preserve">Requested Procedure ID</w:t>
            </w:r>
          </w:p>
        </w:tc>
      </w:tr>
      <w:tr>
        <w:tc>
          <w:tcPr>
            <w:tcW w:w="1500" w:type="dxa"/>
          </w:tcPr>
          <w:p>
            <w:r>
              <w:t xml:space="preserve">0040,1002</w:t>
            </w:r>
          </w:p>
        </w:tc>
        <w:tc>
          <w:tcPr>
            <w:tcW w:w="6000" w:type="dxa"/>
          </w:tcPr>
          <w:p>
            <w:r>
              <w:t xml:space="preserve">Reason for the Requested Procedure</w:t>
            </w:r>
          </w:p>
        </w:tc>
      </w:tr>
      <w:tr>
        <w:tc>
          <w:tcPr>
            <w:tcW w:w="1500" w:type="dxa"/>
          </w:tcPr>
          <w:p>
            <w:r>
              <w:t xml:space="preserve">0040,1004</w:t>
            </w:r>
          </w:p>
        </w:tc>
        <w:tc>
          <w:tcPr>
            <w:tcW w:w="6000" w:type="dxa"/>
          </w:tcPr>
          <w:p>
            <w:r>
              <w:t xml:space="preserve">Patient Transport Arrangements</w:t>
            </w:r>
          </w:p>
        </w:tc>
      </w:tr>
      <w:tr>
        <w:tc>
          <w:tcPr>
            <w:tcW w:w="1500" w:type="dxa"/>
          </w:tcPr>
          <w:p>
            <w:r>
              <w:t xml:space="preserve">0040,1005</w:t>
            </w:r>
          </w:p>
        </w:tc>
        <w:tc>
          <w:tcPr>
            <w:tcW w:w="6000" w:type="dxa"/>
          </w:tcPr>
          <w:p>
            <w:r>
              <w:t xml:space="preserve">Requested Procedure Location</w:t>
            </w:r>
          </w:p>
        </w:tc>
      </w:tr>
      <w:tr>
        <w:tc>
          <w:tcPr>
            <w:tcW w:w="1500" w:type="dxa"/>
          </w:tcPr>
          <w:p>
            <w:r>
              <w:t xml:space="preserve">0040,1008</w:t>
            </w:r>
          </w:p>
        </w:tc>
        <w:tc>
          <w:tcPr>
            <w:tcW w:w="6000" w:type="dxa"/>
          </w:tcPr>
          <w:p>
            <w:r>
              <w:t xml:space="preserve">Confidentiality Code</w:t>
            </w:r>
          </w:p>
        </w:tc>
      </w:tr>
      <w:tr>
        <w:tc>
          <w:tcPr>
            <w:tcW w:w="1500" w:type="dxa"/>
          </w:tcPr>
          <w:p>
            <w:r>
              <w:t xml:space="preserve">0040,2008</w:t>
            </w:r>
          </w:p>
        </w:tc>
        <w:tc>
          <w:tcPr>
            <w:tcW w:w="6000" w:type="dxa"/>
          </w:tcPr>
          <w:p>
            <w:r>
              <w:t xml:space="preserve">Order Entered By</w:t>
            </w:r>
          </w:p>
        </w:tc>
      </w:tr>
      <w:tr>
        <w:tc>
          <w:tcPr>
            <w:tcW w:w="1500" w:type="dxa"/>
          </w:tcPr>
          <w:p>
            <w:r>
              <w:t xml:space="preserve">0040,2009</w:t>
            </w:r>
          </w:p>
        </w:tc>
        <w:tc>
          <w:tcPr>
            <w:tcW w:w="6000" w:type="dxa"/>
          </w:tcPr>
          <w:p>
            <w:r>
              <w:t xml:space="preserve">Order Enterer's Location</w:t>
            </w:r>
          </w:p>
        </w:tc>
      </w:tr>
      <w:tr>
        <w:tc>
          <w:tcPr>
            <w:tcW w:w="1500" w:type="dxa"/>
          </w:tcPr>
          <w:p>
            <w:r>
              <w:t xml:space="preserve">0040,2010</w:t>
            </w:r>
          </w:p>
        </w:tc>
        <w:tc>
          <w:tcPr>
            <w:tcW w:w="6000" w:type="dxa"/>
          </w:tcPr>
          <w:p>
            <w:r>
              <w:t xml:space="preserve">Order Callback Phone Number</w:t>
            </w:r>
          </w:p>
        </w:tc>
      </w:tr>
      <w:tr>
        <w:tc>
          <w:tcPr>
            <w:tcW w:w="1500" w:type="dxa"/>
          </w:tcPr>
          <w:p>
            <w:r>
              <w:t xml:space="preserve">0040,2011</w:t>
            </w:r>
          </w:p>
        </w:tc>
        <w:tc>
          <w:tcPr>
            <w:tcW w:w="6000" w:type="dxa"/>
          </w:tcPr>
          <w:p>
            <w:r>
              <w:t xml:space="preserve">Order Callback Telecom Information</w:t>
            </w:r>
          </w:p>
        </w:tc>
      </w:tr>
      <w:tr>
        <w:tc>
          <w:tcPr>
            <w:tcW w:w="1500" w:type="dxa"/>
          </w:tcPr>
          <w:p>
            <w:r>
              <w:t xml:space="preserve">0040,2016</w:t>
            </w:r>
          </w:p>
        </w:tc>
        <w:tc>
          <w:tcPr>
            <w:tcW w:w="6000" w:type="dxa"/>
          </w:tcPr>
          <w:p>
            <w:r>
              <w:t xml:space="preserve">Placer Order Number / Imaging Service Request</w:t>
            </w:r>
          </w:p>
        </w:tc>
      </w:tr>
      <w:tr>
        <w:tc>
          <w:tcPr>
            <w:tcW w:w="1500" w:type="dxa"/>
          </w:tcPr>
          <w:p>
            <w:r>
              <w:t xml:space="preserve">0040,2017</w:t>
            </w:r>
          </w:p>
        </w:tc>
        <w:tc>
          <w:tcPr>
            <w:tcW w:w="6000" w:type="dxa"/>
          </w:tcPr>
          <w:p>
            <w:r>
              <w:t xml:space="preserve">Filler Order Number / Imaging Service Request</w:t>
            </w:r>
          </w:p>
        </w:tc>
      </w:tr>
      <w:tr>
        <w:tc>
          <w:tcPr>
            <w:tcW w:w="1500" w:type="dxa"/>
          </w:tcPr>
          <w:p>
            <w:r>
              <w:t xml:space="preserve">0040,2400</w:t>
            </w:r>
          </w:p>
        </w:tc>
        <w:tc>
          <w:tcPr>
            <w:tcW w:w="6000" w:type="dxa"/>
          </w:tcPr>
          <w:p>
            <w:r>
              <w:t xml:space="preserve">Imaging Service Request Comments</w:t>
            </w:r>
          </w:p>
        </w:tc>
      </w:tr>
      <w:tr>
        <w:tc>
          <w:tcPr>
            <w:tcW w:w="1500" w:type="dxa"/>
          </w:tcPr>
          <w:p>
            <w:r>
              <w:t xml:space="preserve">0040,4006</w:t>
            </w:r>
          </w:p>
        </w:tc>
        <w:tc>
          <w:tcPr>
            <w:tcW w:w="6000" w:type="dxa"/>
          </w:tcPr>
          <w:p>
            <w:r>
              <w:t xml:space="preserve">Referenced General Purpose Scheduled Procedure Step Transaction UID Sequence</w:t>
            </w:r>
          </w:p>
        </w:tc>
      </w:tr>
      <w:tr>
        <w:tc>
          <w:tcPr>
            <w:tcW w:w="1500" w:type="dxa"/>
          </w:tcPr>
          <w:p>
            <w:r>
              <w:t xml:space="preserve">0040,4009</w:t>
            </w:r>
          </w:p>
        </w:tc>
        <w:tc>
          <w:tcPr>
            <w:tcW w:w="6000" w:type="dxa"/>
          </w:tcPr>
          <w:p>
            <w:r>
              <w:t xml:space="preserve">Scheduled Human Performers Sequence</w:t>
            </w:r>
          </w:p>
        </w:tc>
      </w:tr>
      <w:tr>
        <w:tc>
          <w:tcPr>
            <w:tcW w:w="1500" w:type="dxa"/>
          </w:tcPr>
          <w:p>
            <w:r>
              <w:t xml:space="preserve">0040,4010</w:t>
            </w:r>
          </w:p>
        </w:tc>
        <w:tc>
          <w:tcPr>
            <w:tcW w:w="6000" w:type="dxa"/>
          </w:tcPr>
          <w:p>
            <w:r>
              <w:t xml:space="preserve">Scheduled Procedure Step Modification Date and Time</w:t>
            </w:r>
          </w:p>
        </w:tc>
      </w:tr>
      <w:tr>
        <w:tc>
          <w:tcPr>
            <w:tcW w:w="1500" w:type="dxa"/>
          </w:tcPr>
          <w:p>
            <w:r>
              <w:t xml:space="preserve">0040,4020</w:t>
            </w:r>
          </w:p>
        </w:tc>
        <w:tc>
          <w:tcPr>
            <w:tcW w:w="6000" w:type="dxa"/>
          </w:tcPr>
          <w:p>
            <w:r>
              <w:t xml:space="preserve">Scheduled Processing Applications Code Sequence</w:t>
            </w:r>
          </w:p>
        </w:tc>
      </w:tr>
      <w:tr>
        <w:tc>
          <w:tcPr>
            <w:tcW w:w="1500" w:type="dxa"/>
          </w:tcPr>
          <w:p>
            <w:r>
              <w:t xml:space="preserve">0040,4021</w:t>
            </w:r>
          </w:p>
        </w:tc>
        <w:tc>
          <w:tcPr>
            <w:tcW w:w="6000" w:type="dxa"/>
          </w:tcPr>
          <w:p>
            <w:r>
              <w:t xml:space="preserve">Scheduled Procedure Step Start DateTime</w:t>
            </w:r>
          </w:p>
        </w:tc>
      </w:tr>
      <w:tr>
        <w:tc>
          <w:tcPr>
            <w:tcW w:w="1500" w:type="dxa"/>
          </w:tcPr>
          <w:p>
            <w:r>
              <w:t xml:space="preserve">0040,A057</w:t>
            </w:r>
          </w:p>
        </w:tc>
        <w:tc>
          <w:tcPr>
            <w:tcW w:w="6000" w:type="dxa"/>
          </w:tcPr>
          <w:p>
            <w:r>
              <w:t xml:space="preserve">Urgency or Priority Alerts</w:t>
            </w:r>
          </w:p>
        </w:tc>
      </w:tr>
      <w:tr>
        <w:tc>
          <w:tcPr>
            <w:tcW w:w="1500" w:type="dxa"/>
          </w:tcPr>
          <w:p>
            <w:r>
              <w:t xml:space="preserve">0040,A060</w:t>
            </w:r>
          </w:p>
        </w:tc>
        <w:tc>
          <w:tcPr>
            <w:tcW w:w="6000" w:type="dxa"/>
          </w:tcPr>
          <w:p>
            <w:r>
              <w:t xml:space="preserve">Identifying Comments</w:t>
            </w:r>
          </w:p>
        </w:tc>
      </w:tr>
      <w:tr>
        <w:tc>
          <w:tcPr>
            <w:tcW w:w="1500" w:type="dxa"/>
          </w:tcPr>
          <w:p>
            <w:r>
              <w:t xml:space="preserve">0040,A066</w:t>
            </w:r>
          </w:p>
        </w:tc>
        <w:tc>
          <w:tcPr>
            <w:tcW w:w="6000" w:type="dxa"/>
          </w:tcPr>
          <w:p>
            <w:r>
              <w:t xml:space="preserve">Author Observer Sequence</w:t>
            </w:r>
          </w:p>
        </w:tc>
      </w:tr>
      <w:tr>
        <w:tc>
          <w:tcPr>
            <w:tcW w:w="1500" w:type="dxa"/>
          </w:tcPr>
          <w:p>
            <w:r>
              <w:t xml:space="preserve">0040,A067</w:t>
            </w:r>
          </w:p>
        </w:tc>
        <w:tc>
          <w:tcPr>
            <w:tcW w:w="6000" w:type="dxa"/>
          </w:tcPr>
          <w:p>
            <w:r>
              <w:t xml:space="preserve">Participant Sequence (Author)</w:t>
            </w:r>
          </w:p>
        </w:tc>
      </w:tr>
      <w:tr>
        <w:tc>
          <w:tcPr>
            <w:tcW w:w="1500" w:type="dxa"/>
          </w:tcPr>
          <w:p>
            <w:r>
              <w:t xml:space="preserve">0040,A068</w:t>
            </w:r>
          </w:p>
        </w:tc>
        <w:tc>
          <w:tcPr>
            <w:tcW w:w="6000" w:type="dxa"/>
          </w:tcPr>
          <w:p>
            <w:r>
              <w:t xml:space="preserve">Participant Sequence (Verifier)</w:t>
            </w:r>
          </w:p>
        </w:tc>
      </w:tr>
      <w:tr>
        <w:tc>
          <w:tcPr>
            <w:tcW w:w="1500" w:type="dxa"/>
          </w:tcPr>
          <w:p>
            <w:r>
              <w:t xml:space="preserve">0040,A070</w:t>
            </w:r>
          </w:p>
        </w:tc>
        <w:tc>
          <w:tcPr>
            <w:tcW w:w="6000" w:type="dxa"/>
          </w:tcPr>
          <w:p>
            <w:r>
              <w:t xml:space="preserve">Referenced Accession Sequence</w:t>
            </w:r>
          </w:p>
        </w:tc>
      </w:tr>
      <w:tr>
        <w:tc>
          <w:tcPr>
            <w:tcW w:w="1500" w:type="dxa"/>
          </w:tcPr>
          <w:p>
            <w:r>
              <w:t xml:space="preserve">0040,A073</w:t>
            </w:r>
          </w:p>
        </w:tc>
        <w:tc>
          <w:tcPr>
            <w:tcW w:w="6000" w:type="dxa"/>
          </w:tcPr>
          <w:p>
            <w:r>
              <w:t xml:space="preserve">Verifying Observer Sequence</w:t>
            </w:r>
          </w:p>
        </w:tc>
      </w:tr>
      <w:tr>
        <w:tc>
          <w:tcPr>
            <w:tcW w:w="1500" w:type="dxa"/>
          </w:tcPr>
          <w:p>
            <w:r>
              <w:t xml:space="preserve">0040,A075</w:t>
            </w:r>
          </w:p>
        </w:tc>
        <w:tc>
          <w:tcPr>
            <w:tcW w:w="6000" w:type="dxa"/>
          </w:tcPr>
          <w:p>
            <w:r>
              <w:t xml:space="preserve">Verifying Observer Name</w:t>
            </w:r>
          </w:p>
        </w:tc>
      </w:tr>
      <w:tr>
        <w:tc>
          <w:tcPr>
            <w:tcW w:w="1500" w:type="dxa"/>
          </w:tcPr>
          <w:p>
            <w:r>
              <w:t xml:space="preserve">0040,A078</w:t>
            </w:r>
          </w:p>
        </w:tc>
        <w:tc>
          <w:tcPr>
            <w:tcW w:w="6000" w:type="dxa"/>
          </w:tcPr>
          <w:p>
            <w:r>
              <w:t xml:space="preserve">Author Observer Name</w:t>
            </w:r>
          </w:p>
        </w:tc>
      </w:tr>
      <w:tr>
        <w:tc>
          <w:tcPr>
            <w:tcW w:w="1500" w:type="dxa"/>
          </w:tcPr>
          <w:p>
            <w:r>
              <w:t xml:space="preserve">0040,A123</w:t>
            </w:r>
          </w:p>
        </w:tc>
        <w:tc>
          <w:tcPr>
            <w:tcW w:w="6000" w:type="dxa"/>
          </w:tcPr>
          <w:p>
            <w:r>
              <w:t xml:space="preserve">Person Name</w:t>
            </w:r>
          </w:p>
        </w:tc>
      </w:tr>
      <w:tr>
        <w:tc>
          <w:tcPr>
            <w:tcW w:w="1500" w:type="dxa"/>
          </w:tcPr>
          <w:p>
            <w:r>
              <w:t xml:space="preserve">0040,A160</w:t>
            </w:r>
          </w:p>
        </w:tc>
        <w:tc>
          <w:tcPr>
            <w:tcW w:w="6000" w:type="dxa"/>
          </w:tcPr>
          <w:p>
            <w:r>
              <w:t xml:space="preserve">Text Value</w:t>
            </w:r>
          </w:p>
        </w:tc>
      </w:tr>
      <w:tr>
        <w:tc>
          <w:tcPr>
            <w:tcW w:w="1500" w:type="dxa"/>
          </w:tcPr>
          <w:p>
            <w:r>
              <w:t xml:space="preserve">0040,A730</w:t>
            </w:r>
          </w:p>
        </w:tc>
        <w:tc>
          <w:tcPr>
            <w:tcW w:w="6000" w:type="dxa"/>
          </w:tcPr>
          <w:p>
            <w:r>
              <w:t xml:space="preserve">Content Sequence</w:t>
            </w:r>
          </w:p>
        </w:tc>
      </w:tr>
      <w:tr>
        <w:tc>
          <w:tcPr>
            <w:tcW w:w="1500" w:type="dxa"/>
          </w:tcPr>
          <w:p>
            <w:r>
              <w:t xml:space="preserve">0050,0010</w:t>
            </w:r>
          </w:p>
        </w:tc>
        <w:tc>
          <w:tcPr>
            <w:tcW w:w="6000" w:type="dxa"/>
          </w:tcPr>
          <w:p>
            <w:r>
              <w:t xml:space="preserve">Device Sequence</w:t>
            </w:r>
          </w:p>
        </w:tc>
      </w:tr>
      <w:tr>
        <w:tc>
          <w:tcPr>
            <w:tcW w:w="1500" w:type="dxa"/>
          </w:tcPr>
          <w:p>
            <w:r>
              <w:t xml:space="preserve">0070,0001</w:t>
            </w:r>
          </w:p>
        </w:tc>
        <w:tc>
          <w:tcPr>
            <w:tcW w:w="6000" w:type="dxa"/>
          </w:tcPr>
          <w:p>
            <w:r>
              <w:t xml:space="preserve">Graphic Annotation Sequence</w:t>
            </w:r>
          </w:p>
        </w:tc>
      </w:tr>
      <w:tr>
        <w:tc>
          <w:tcPr>
            <w:tcW w:w="1500" w:type="dxa"/>
          </w:tcPr>
          <w:p>
            <w:r>
              <w:t xml:space="preserve">0070,0002</w:t>
            </w:r>
          </w:p>
        </w:tc>
        <w:tc>
          <w:tcPr>
            <w:tcW w:w="6000" w:type="dxa"/>
          </w:tcPr>
          <w:p>
            <w:r>
              <w:t xml:space="preserve">Graphic Layer</w:t>
            </w:r>
          </w:p>
        </w:tc>
      </w:tr>
      <w:tr>
        <w:tc>
          <w:tcPr>
            <w:tcW w:w="1500" w:type="dxa"/>
          </w:tcPr>
          <w:p>
            <w:r>
              <w:t xml:space="preserve">0070,0003</w:t>
            </w:r>
          </w:p>
        </w:tc>
        <w:tc>
          <w:tcPr>
            <w:tcW w:w="6000" w:type="dxa"/>
          </w:tcPr>
          <w:p>
            <w:r>
              <w:t xml:space="preserve">Bounding Box Annotation Units</w:t>
            </w:r>
          </w:p>
        </w:tc>
      </w:tr>
      <w:tr>
        <w:tc>
          <w:tcPr>
            <w:tcW w:w="1500" w:type="dxa"/>
          </w:tcPr>
          <w:p>
            <w:r>
              <w:t xml:space="preserve">0070,0004</w:t>
            </w:r>
          </w:p>
        </w:tc>
        <w:tc>
          <w:tcPr>
            <w:tcW w:w="6000" w:type="dxa"/>
          </w:tcPr>
          <w:p>
            <w:r>
              <w:t xml:space="preserve">Anchor Point Annotation Units</w:t>
            </w:r>
          </w:p>
        </w:tc>
      </w:tr>
      <w:tr>
        <w:tc>
          <w:tcPr>
            <w:tcW w:w="1500" w:type="dxa"/>
          </w:tcPr>
          <w:p>
            <w:r>
              <w:t xml:space="preserve">0070,0005</w:t>
            </w:r>
          </w:p>
        </w:tc>
        <w:tc>
          <w:tcPr>
            <w:tcW w:w="6000" w:type="dxa"/>
          </w:tcPr>
          <w:p>
            <w:r>
              <w:t xml:space="preserve">Graphic Annotation Units</w:t>
            </w:r>
          </w:p>
        </w:tc>
      </w:tr>
      <w:tr>
        <w:tc>
          <w:tcPr>
            <w:tcW w:w="1500" w:type="dxa"/>
          </w:tcPr>
          <w:p>
            <w:r>
              <w:t xml:space="preserve">0070,0006</w:t>
            </w:r>
          </w:p>
        </w:tc>
        <w:tc>
          <w:tcPr>
            <w:tcW w:w="6000" w:type="dxa"/>
          </w:tcPr>
          <w:p>
            <w:r>
              <w:t xml:space="preserve">Unformatted Text Value</w:t>
            </w:r>
          </w:p>
        </w:tc>
      </w:tr>
      <w:tr>
        <w:tc>
          <w:tcPr>
            <w:tcW w:w="1500" w:type="dxa"/>
          </w:tcPr>
          <w:p>
            <w:r>
              <w:t xml:space="preserve">0070,0008</w:t>
            </w:r>
          </w:p>
        </w:tc>
        <w:tc>
          <w:tcPr>
            <w:tcW w:w="6000" w:type="dxa"/>
          </w:tcPr>
          <w:p>
            <w:r>
              <w:t xml:space="preserve">Text Object Sequence</w:t>
            </w:r>
          </w:p>
        </w:tc>
      </w:tr>
      <w:tr>
        <w:tc>
          <w:tcPr>
            <w:tcW w:w="1500" w:type="dxa"/>
          </w:tcPr>
          <w:p>
            <w:r>
              <w:t xml:space="preserve">0070,0009</w:t>
            </w:r>
          </w:p>
        </w:tc>
        <w:tc>
          <w:tcPr>
            <w:tcW w:w="6000" w:type="dxa"/>
          </w:tcPr>
          <w:p>
            <w:r>
              <w:t xml:space="preserve">Graphic Object Sequence</w:t>
            </w:r>
          </w:p>
        </w:tc>
      </w:tr>
      <w:tr>
        <w:tc>
          <w:tcPr>
            <w:tcW w:w="1500" w:type="dxa"/>
          </w:tcPr>
          <w:p>
            <w:r>
              <w:t xml:space="preserve">0070,0010</w:t>
            </w:r>
          </w:p>
        </w:tc>
        <w:tc>
          <w:tcPr>
            <w:tcW w:w="6000" w:type="dxa"/>
          </w:tcPr>
          <w:p>
            <w:r>
              <w:t xml:space="preserve">Bounding Box Top Left Hand Corner</w:t>
            </w:r>
          </w:p>
        </w:tc>
      </w:tr>
      <w:tr>
        <w:tc>
          <w:tcPr>
            <w:tcW w:w="1500" w:type="dxa"/>
          </w:tcPr>
          <w:p>
            <w:r>
              <w:t xml:space="preserve">0070,0011</w:t>
            </w:r>
          </w:p>
        </w:tc>
        <w:tc>
          <w:tcPr>
            <w:tcW w:w="6000" w:type="dxa"/>
          </w:tcPr>
          <w:p>
            <w:r>
              <w:t xml:space="preserve">Bounding Box Bottom Right Hand Corner</w:t>
            </w:r>
          </w:p>
        </w:tc>
      </w:tr>
      <w:tr>
        <w:tc>
          <w:tcPr>
            <w:tcW w:w="1500" w:type="dxa"/>
          </w:tcPr>
          <w:p>
            <w:r>
              <w:t xml:space="preserve">0070,0012</w:t>
            </w:r>
          </w:p>
        </w:tc>
        <w:tc>
          <w:tcPr>
            <w:tcW w:w="6000" w:type="dxa"/>
          </w:tcPr>
          <w:p>
            <w:r>
              <w:t xml:space="preserve">Bounding Box Text Horizontal Justification</w:t>
            </w:r>
          </w:p>
        </w:tc>
      </w:tr>
      <w:tr>
        <w:tc>
          <w:tcPr>
            <w:tcW w:w="1500" w:type="dxa"/>
          </w:tcPr>
          <w:p>
            <w:r>
              <w:t xml:space="preserve">0070,0013</w:t>
            </w:r>
          </w:p>
        </w:tc>
        <w:tc>
          <w:tcPr>
            <w:tcW w:w="6000" w:type="dxa"/>
          </w:tcPr>
          <w:p>
            <w:r>
              <w:t xml:space="preserve">Anchor Point</w:t>
            </w:r>
          </w:p>
        </w:tc>
      </w:tr>
      <w:tr>
        <w:tc>
          <w:tcPr>
            <w:tcW w:w="1500" w:type="dxa"/>
          </w:tcPr>
          <w:p>
            <w:r>
              <w:t xml:space="preserve">0070,0014</w:t>
            </w:r>
          </w:p>
        </w:tc>
        <w:tc>
          <w:tcPr>
            <w:tcW w:w="6000" w:type="dxa"/>
          </w:tcPr>
          <w:p>
            <w:r>
              <w:t xml:space="preserve">Anchor Point Visibility</w:t>
            </w:r>
          </w:p>
        </w:tc>
      </w:tr>
      <w:tr>
        <w:tc>
          <w:tcPr>
            <w:tcW w:w="1500" w:type="dxa"/>
          </w:tcPr>
          <w:p>
            <w:r>
              <w:t xml:space="preserve">0070,0080</w:t>
            </w:r>
          </w:p>
        </w:tc>
        <w:tc>
          <w:tcPr>
            <w:tcW w:w="6000" w:type="dxa"/>
          </w:tcPr>
          <w:p>
            <w:r>
              <w:t xml:space="preserve">Content Label</w:t>
            </w:r>
          </w:p>
        </w:tc>
      </w:tr>
      <w:tr>
        <w:tc>
          <w:tcPr>
            <w:tcW w:w="1500" w:type="dxa"/>
          </w:tcPr>
          <w:p>
            <w:r>
              <w:t xml:space="preserve">0070,0081</w:t>
            </w:r>
          </w:p>
        </w:tc>
        <w:tc>
          <w:tcPr>
            <w:tcW w:w="6000" w:type="dxa"/>
          </w:tcPr>
          <w:p>
            <w:r>
              <w:t xml:space="preserve">Content Description</w:t>
            </w:r>
          </w:p>
        </w:tc>
      </w:tr>
      <w:tr>
        <w:tc>
          <w:tcPr>
            <w:tcW w:w="1500" w:type="dxa"/>
          </w:tcPr>
          <w:p>
            <w:r>
              <w:t xml:space="preserve">0070,0082</w:t>
            </w:r>
          </w:p>
        </w:tc>
        <w:tc>
          <w:tcPr>
            <w:tcW w:w="6000" w:type="dxa"/>
          </w:tcPr>
          <w:p>
            <w:r>
              <w:t xml:space="preserve">Presentation Creation Date</w:t>
            </w:r>
          </w:p>
        </w:tc>
      </w:tr>
      <w:tr>
        <w:tc>
          <w:tcPr>
            <w:tcW w:w="1500" w:type="dxa"/>
          </w:tcPr>
          <w:p>
            <w:r>
              <w:t xml:space="preserve">0070,0083</w:t>
            </w:r>
          </w:p>
        </w:tc>
        <w:tc>
          <w:tcPr>
            <w:tcW w:w="6000" w:type="dxa"/>
          </w:tcPr>
          <w:p>
            <w:r>
              <w:t xml:space="preserve">Presentation Creation Time</w:t>
            </w:r>
          </w:p>
        </w:tc>
      </w:tr>
      <w:tr>
        <w:tc>
          <w:tcPr>
            <w:tcW w:w="1500" w:type="dxa"/>
          </w:tcPr>
          <w:p>
            <w:r>
              <w:t xml:space="preserve">0070,0084</w:t>
            </w:r>
          </w:p>
        </w:tc>
        <w:tc>
          <w:tcPr>
            <w:tcW w:w="6000" w:type="dxa"/>
          </w:tcPr>
          <w:p>
            <w:r>
              <w:t xml:space="preserve">Content Creator's Name</w:t>
            </w:r>
          </w:p>
        </w:tc>
      </w:tr>
      <w:tr>
        <w:tc>
          <w:tcPr>
            <w:tcW w:w="1500" w:type="dxa"/>
          </w:tcPr>
          <w:p>
            <w:r>
              <w:t xml:space="preserve">0070,0207</w:t>
            </w:r>
          </w:p>
        </w:tc>
        <w:tc>
          <w:tcPr>
            <w:tcW w:w="6000" w:type="dxa"/>
          </w:tcPr>
          <w:p>
            <w:r>
              <w:t xml:space="preserve">Presentation Annotation</w:t>
            </w:r>
          </w:p>
        </w:tc>
      </w:tr>
      <w:tr>
        <w:tc>
          <w:tcPr>
            <w:tcW w:w="1500" w:type="dxa"/>
          </w:tcPr>
          <w:p>
            <w:r>
              <w:t xml:space="preserve">0070,0208</w:t>
            </w:r>
          </w:p>
        </w:tc>
        <w:tc>
          <w:tcPr>
            <w:tcW w:w="6000" w:type="dxa"/>
          </w:tcPr>
          <w:p>
            <w:r>
              <w:t xml:space="preserve">Presentation Annotation Units</w:t>
            </w:r>
          </w:p>
        </w:tc>
      </w:tr>
      <w:tr>
        <w:tc>
          <w:tcPr>
            <w:tcW w:w="1500" w:type="dxa"/>
          </w:tcPr>
          <w:p>
            <w:r>
              <w:t xml:space="preserve">0070,0209</w:t>
            </w:r>
          </w:p>
        </w:tc>
        <w:tc>
          <w:tcPr>
            <w:tcW w:w="6000" w:type="dxa"/>
          </w:tcPr>
          <w:p>
            <w:r>
              <w:t xml:space="preserve">Presentation Annotation Sequence</w:t>
            </w:r>
          </w:p>
        </w:tc>
      </w:tr>
      <w:tr>
        <w:tc>
          <w:tcPr>
            <w:tcW w:w="1500" w:type="dxa"/>
          </w:tcPr>
          <w:p>
            <w:r>
              <w:t xml:space="preserve">0070,0303</w:t>
            </w:r>
          </w:p>
        </w:tc>
        <w:tc>
          <w:tcPr>
            <w:tcW w:w="6000" w:type="dxa"/>
          </w:tcPr>
          <w:p>
            <w:r>
              <w:t xml:space="preserve">Referenced Spatial Registration Sequence</w:t>
            </w:r>
          </w:p>
        </w:tc>
      </w:tr>
      <w:tr>
        <w:tc>
          <w:tcPr>
            <w:tcW w:w="1500" w:type="dxa"/>
          </w:tcPr>
          <w:p>
            <w:r>
              <w:t xml:space="preserve">0072,0002</w:t>
            </w:r>
          </w:p>
        </w:tc>
        <w:tc>
          <w:tcPr>
            <w:tcW w:w="6000" w:type="dxa"/>
          </w:tcPr>
          <w:p>
            <w:r>
              <w:t xml:space="preserve">Hanging Protocol Name</w:t>
            </w:r>
          </w:p>
        </w:tc>
      </w:tr>
      <w:tr>
        <w:tc>
          <w:tcPr>
            <w:tcW w:w="1500" w:type="dxa"/>
          </w:tcPr>
          <w:p>
            <w:r>
              <w:t xml:space="preserve">0072,0004</w:t>
            </w:r>
          </w:p>
        </w:tc>
        <w:tc>
          <w:tcPr>
            <w:tcW w:w="6000" w:type="dxa"/>
          </w:tcPr>
          <w:p>
            <w:r>
              <w:t xml:space="preserve">Hanging Protocol Description</w:t>
            </w:r>
          </w:p>
        </w:tc>
      </w:tr>
      <w:tr>
        <w:tc>
          <w:tcPr>
            <w:tcW w:w="1500" w:type="dxa"/>
          </w:tcPr>
          <w:p>
            <w:r>
              <w:t xml:space="preserve">0072,0006</w:t>
            </w:r>
          </w:p>
        </w:tc>
        <w:tc>
          <w:tcPr>
            <w:tcW w:w="6000" w:type="dxa"/>
          </w:tcPr>
          <w:p>
            <w:r>
              <w:t xml:space="preserve">Hanging Protocol Level</w:t>
            </w:r>
          </w:p>
        </w:tc>
      </w:tr>
      <w:tr>
        <w:tc>
          <w:tcPr>
            <w:tcW w:w="1500" w:type="dxa"/>
          </w:tcPr>
          <w:p>
            <w:r>
              <w:t xml:space="preserve">0072,0008</w:t>
            </w:r>
          </w:p>
        </w:tc>
        <w:tc>
          <w:tcPr>
            <w:tcW w:w="6000" w:type="dxa"/>
          </w:tcPr>
          <w:p>
            <w:r>
              <w:t xml:space="preserve">Hanging Protocol Creator</w:t>
            </w:r>
          </w:p>
        </w:tc>
      </w:tr>
      <w:tr>
        <w:tc>
          <w:tcPr>
            <w:tcW w:w="1500" w:type="dxa"/>
          </w:tcPr>
          <w:p>
            <w:r>
              <w:t xml:space="preserve">0072,000A</w:t>
            </w:r>
          </w:p>
        </w:tc>
        <w:tc>
          <w:tcPr>
            <w:tcW w:w="6000" w:type="dxa"/>
          </w:tcPr>
          <w:p>
            <w:r>
              <w:t xml:space="preserve">Hanging Protocol Creation DateTime</w:t>
            </w:r>
          </w:p>
        </w:tc>
      </w:tr>
      <w:tr>
        <w:tc>
          <w:tcPr>
            <w:tcW w:w="1500" w:type="dxa"/>
          </w:tcPr>
          <w:p>
            <w:r>
              <w:t xml:space="preserve">0072,000C</w:t>
            </w:r>
          </w:p>
        </w:tc>
        <w:tc>
          <w:tcPr>
            <w:tcW w:w="6000" w:type="dxa"/>
          </w:tcPr>
          <w:p>
            <w:r>
              <w:t xml:space="preserve">Hanging Protocol Definition Sequence</w:t>
            </w:r>
          </w:p>
        </w:tc>
      </w:tr>
      <w:tr>
        <w:tc>
          <w:tcPr>
            <w:tcW w:w="1500" w:type="dxa"/>
          </w:tcPr>
          <w:p>
            <w:r>
              <w:t xml:space="preserve">0072,000E</w:t>
            </w:r>
          </w:p>
        </w:tc>
        <w:tc>
          <w:tcPr>
            <w:tcW w:w="6000" w:type="dxa"/>
          </w:tcPr>
          <w:p>
            <w:r>
              <w:t xml:space="preserve">Hanging Protocol User Identification Code Sequence</w:t>
            </w:r>
          </w:p>
        </w:tc>
      </w:tr>
      <w:tr>
        <w:tc>
          <w:tcPr>
            <w:tcW w:w="1500" w:type="dxa"/>
          </w:tcPr>
          <w:p>
            <w:r>
              <w:t xml:space="preserve">0072,0010</w:t>
            </w:r>
          </w:p>
        </w:tc>
        <w:tc>
          <w:tcPr>
            <w:tcW w:w="6000" w:type="dxa"/>
          </w:tcPr>
          <w:p>
            <w:r>
              <w:t xml:space="preserve">Hanging Protocol User Group Name</w:t>
            </w:r>
          </w:p>
        </w:tc>
      </w:tr>
      <w:tr>
        <w:tc>
          <w:tcPr>
            <w:tcW w:w="1500" w:type="dxa"/>
          </w:tcPr>
          <w:p>
            <w:r>
              <w:t xml:space="preserve">0400,0100</w:t>
            </w:r>
          </w:p>
        </w:tc>
        <w:tc>
          <w:tcPr>
            <w:tcW w:w="6000" w:type="dxa"/>
          </w:tcPr>
          <w:p>
            <w:r>
              <w:t xml:space="preserve">Digital Signature UID</w:t>
            </w:r>
          </w:p>
        </w:tc>
      </w:tr>
      <w:tr>
        <w:tc>
          <w:tcPr>
            <w:tcW w:w="1500" w:type="dxa"/>
          </w:tcPr>
          <w:p>
            <w:r>
              <w:t xml:space="preserve">0400,0105</w:t>
            </w:r>
          </w:p>
        </w:tc>
        <w:tc>
          <w:tcPr>
            <w:tcW w:w="6000" w:type="dxa"/>
          </w:tcPr>
          <w:p>
            <w:r>
              <w:t xml:space="preserve">Digital Signature DateTime</w:t>
            </w:r>
          </w:p>
        </w:tc>
      </w:tr>
      <w:tr>
        <w:tc>
          <w:tcPr>
            <w:tcW w:w="1500" w:type="dxa"/>
          </w:tcPr>
          <w:p>
            <w:r>
              <w:t xml:space="preserve">0400,0110</w:t>
            </w:r>
          </w:p>
        </w:tc>
        <w:tc>
          <w:tcPr>
            <w:tcW w:w="6000" w:type="dxa"/>
          </w:tcPr>
          <w:p>
            <w:r>
              <w:t xml:space="preserve">Certificate Type</w:t>
            </w:r>
          </w:p>
        </w:tc>
      </w:tr>
      <w:tr>
        <w:tc>
          <w:tcPr>
            <w:tcW w:w="1500" w:type="dxa"/>
          </w:tcPr>
          <w:p>
            <w:r>
              <w:t xml:space="preserve">0400,0115</w:t>
            </w:r>
          </w:p>
        </w:tc>
        <w:tc>
          <w:tcPr>
            <w:tcW w:w="6000" w:type="dxa"/>
          </w:tcPr>
          <w:p>
            <w:r>
              <w:t xml:space="preserve">Certificate of Signer</w:t>
            </w:r>
          </w:p>
        </w:tc>
      </w:tr>
      <w:tr>
        <w:tc>
          <w:tcPr>
            <w:tcW w:w="1500" w:type="dxa"/>
          </w:tcPr>
          <w:p>
            <w:r>
              <w:t xml:space="preserve">0400,0120</w:t>
            </w:r>
          </w:p>
        </w:tc>
        <w:tc>
          <w:tcPr>
            <w:tcW w:w="6000" w:type="dxa"/>
          </w:tcPr>
          <w:p>
            <w:r>
              <w:t xml:space="preserve">Signature</w:t>
            </w:r>
          </w:p>
        </w:tc>
      </w:tr>
      <w:tr>
        <w:tc>
          <w:tcPr>
            <w:tcW w:w="1500" w:type="dxa"/>
          </w:tcPr>
          <w:p>
            <w:r>
              <w:t xml:space="preserve">0400,0402</w:t>
            </w:r>
          </w:p>
        </w:tc>
        <w:tc>
          <w:tcPr>
            <w:tcW w:w="6000" w:type="dxa"/>
          </w:tcPr>
          <w:p>
            <w:r>
              <w:t xml:space="preserve">Referenced Digital Signature Sequence</w:t>
            </w:r>
          </w:p>
        </w:tc>
      </w:tr>
      <w:tr>
        <w:tc>
          <w:tcPr>
            <w:tcW w:w="1500" w:type="dxa"/>
          </w:tcPr>
          <w:p>
            <w:r>
              <w:t xml:space="preserve">0400,0403</w:t>
            </w:r>
          </w:p>
        </w:tc>
        <w:tc>
          <w:tcPr>
            <w:tcW w:w="6000" w:type="dxa"/>
          </w:tcPr>
          <w:p>
            <w:r>
              <w:t xml:space="preserve">Referenced SOP Instance MAC Sequence</w:t>
            </w:r>
          </w:p>
        </w:tc>
      </w:tr>
      <w:tr>
        <w:tc>
          <w:tcPr>
            <w:tcW w:w="1500" w:type="dxa"/>
          </w:tcPr>
          <w:p>
            <w:r>
              <w:t xml:space="preserve">0400,0404</w:t>
            </w:r>
          </w:p>
        </w:tc>
        <w:tc>
          <w:tcPr>
            <w:tcW w:w="6000" w:type="dxa"/>
          </w:tcPr>
          <w:p>
            <w:r>
              <w:t xml:space="preserve">MAC</w:t>
            </w:r>
          </w:p>
        </w:tc>
      </w:tr>
      <w:tr>
        <w:tc>
          <w:tcPr>
            <w:tcW w:w="1500" w:type="dxa"/>
          </w:tcPr>
          <w:p>
            <w:r>
              <w:t xml:space="preserve">0400,0561</w:t>
            </w:r>
          </w:p>
        </w:tc>
        <w:tc>
          <w:tcPr>
            <w:tcW w:w="6000" w:type="dxa"/>
          </w:tcPr>
          <w:p>
            <w:r>
              <w:t xml:space="preserve">Original Attributes Sequence</w:t>
            </w:r>
          </w:p>
        </w:tc>
      </w:tr>
      <w:tr>
        <w:tc>
          <w:tcPr>
            <w:tcW w:w="1500" w:type="dxa"/>
          </w:tcPr>
          <w:p>
            <w:r>
              <w:t xml:space="preserve">0400,0562</w:t>
            </w:r>
          </w:p>
        </w:tc>
        <w:tc>
          <w:tcPr>
            <w:tcW w:w="6000" w:type="dxa"/>
          </w:tcPr>
          <w:p>
            <w:r>
              <w:t xml:space="preserve">Attribute Modification DateTime</w:t>
            </w:r>
          </w:p>
        </w:tc>
      </w:tr>
      <w:tr>
        <w:tc>
          <w:tcPr>
            <w:tcW w:w="1500" w:type="dxa"/>
          </w:tcPr>
          <w:p>
            <w:r>
              <w:t xml:space="preserve">0400,0563</w:t>
            </w:r>
          </w:p>
        </w:tc>
        <w:tc>
          <w:tcPr>
            <w:tcW w:w="6000" w:type="dxa"/>
          </w:tcPr>
          <w:p>
            <w:r>
              <w:t xml:space="preserve">Modifying System</w:t>
            </w:r>
          </w:p>
        </w:tc>
      </w:tr>
      <w:tr>
        <w:tc>
          <w:tcPr>
            <w:tcW w:w="1500" w:type="dxa"/>
          </w:tcPr>
          <w:p>
            <w:r>
              <w:t xml:space="preserve">0400,0564</w:t>
            </w:r>
          </w:p>
        </w:tc>
        <w:tc>
          <w:tcPr>
            <w:tcW w:w="6000" w:type="dxa"/>
          </w:tcPr>
          <w:p>
            <w:r>
              <w:t xml:space="preserve">Source of Previous Values</w:t>
            </w:r>
          </w:p>
        </w:tc>
      </w:tr>
      <w:tr>
        <w:tc>
          <w:tcPr>
            <w:tcW w:w="1500" w:type="dxa"/>
          </w:tcPr>
          <w:p>
            <w:r>
              <w:t xml:space="preserve">0400,0565</w:t>
            </w:r>
          </w:p>
        </w:tc>
        <w:tc>
          <w:tcPr>
            <w:tcW w:w="6000" w:type="dxa"/>
          </w:tcPr>
          <w:p>
            <w:r>
              <w:t xml:space="preserve">Reason for the Attribute Modification</w:t>
            </w:r>
          </w:p>
        </w:tc>
      </w:tr>
      <w:tr>
        <w:tc>
          <w:tcPr>
            <w:tcW w:w="1500" w:type="dxa"/>
          </w:tcPr>
          <w:p>
            <w:r>
              <w:t xml:space="preserve">2030,0020</w:t>
            </w:r>
          </w:p>
        </w:tc>
        <w:tc>
          <w:tcPr>
            <w:tcW w:w="6000" w:type="dxa"/>
          </w:tcPr>
          <w:p>
            <w:r>
              <w:t xml:space="preserve">Text String</w:t>
            </w:r>
          </w:p>
        </w:tc>
      </w:tr>
      <w:tr>
        <w:tc>
          <w:tcPr>
            <w:tcW w:w="1500" w:type="dxa"/>
          </w:tcPr>
          <w:p>
            <w:r>
              <w:t xml:space="preserve">2110,0010</w:t>
            </w:r>
          </w:p>
        </w:tc>
        <w:tc>
          <w:tcPr>
            <w:tcW w:w="6000" w:type="dxa"/>
          </w:tcPr>
          <w:p>
            <w:r>
              <w:t xml:space="preserve">Printer Name</w:t>
            </w:r>
          </w:p>
        </w:tc>
      </w:tr>
      <w:tr>
        <w:tc>
          <w:tcPr>
            <w:tcW w:w="1500" w:type="dxa"/>
          </w:tcPr>
          <w:p>
            <w:r>
              <w:t xml:space="preserve">2110,0020</w:t>
            </w:r>
          </w:p>
        </w:tc>
        <w:tc>
          <w:tcPr>
            <w:tcW w:w="6000" w:type="dxa"/>
          </w:tcPr>
          <w:p>
            <w:r>
              <w:t xml:space="preserve">Printer Status</w:t>
            </w:r>
          </w:p>
        </w:tc>
      </w:tr>
      <w:tr>
        <w:tc>
          <w:tcPr>
            <w:tcW w:w="1500" w:type="dxa"/>
          </w:tcPr>
          <w:p>
            <w:r>
              <w:t xml:space="preserve">2110,0030</w:t>
            </w:r>
          </w:p>
        </w:tc>
        <w:tc>
          <w:tcPr>
            <w:tcW w:w="6000" w:type="dxa"/>
          </w:tcPr>
          <w:p>
            <w:r>
              <w:t xml:space="preserve">Printer Status Info</w:t>
            </w:r>
          </w:p>
        </w:tc>
      </w:tr>
      <w:tr>
        <w:tc>
          <w:tcPr>
            <w:tcW w:w="1500" w:type="dxa"/>
          </w:tcPr>
          <w:p>
            <w:r>
              <w:t xml:space="preserve">2200,0001</w:t>
            </w:r>
          </w:p>
        </w:tc>
        <w:tc>
          <w:tcPr>
            <w:tcW w:w="6000" w:type="dxa"/>
          </w:tcPr>
          <w:p>
            <w:r>
              <w:t xml:space="preserve">Label Using Information Extracted from Instances</w:t>
            </w:r>
          </w:p>
        </w:tc>
      </w:tr>
      <w:tr>
        <w:tc>
          <w:tcPr>
            <w:tcW w:w="1500" w:type="dxa"/>
          </w:tcPr>
          <w:p>
            <w:r>
              <w:t xml:space="preserve">2200,0002</w:t>
            </w:r>
          </w:p>
        </w:tc>
        <w:tc>
          <w:tcPr>
            <w:tcW w:w="6000" w:type="dxa"/>
          </w:tcPr>
          <w:p>
            <w:r>
              <w:t xml:space="preserve">Label Text</w:t>
            </w:r>
          </w:p>
        </w:tc>
      </w:tr>
    </w:tbl>
    <w:p/>
    <w:p>
      <w:pPr>
        <w:pStyle w:val="Heading1"/>
      </w:pPr>
      <w:r>
        <w:t>Appendix C: Credits and Acknowledgements</w:t>
      </w:r>
    </w:p>
    <w:p>
      <w:pPr>
        <w:pStyle w:val="Heading2"/>
      </w:pPr>
      <w:r>
        <w:t>Developer</w:t>
      </w:r>
    </w:p>
    <w:p>
      <w:r>
        <w:t>dicomhdr was written by Jeffrey Leal (jeffrey.leal@gmail.com, https://github.com/jeffrey-leal).</w:t>
      </w:r>
    </w:p>
    <w:p>
      <w:pPr>
        <w:pStyle w:val="Heading2"/>
      </w:pPr>
      <w:r>
        <w:t>AI Assistance</w:t>
      </w:r>
    </w:p>
    <w:p>
      <w:r>
        <w:t>This application was designed and developed with the assistance of Claude Sonnet 4.6, an AI assistant created by Anthropic (https://anthropic.com). Architecture planning, code generation, DICOM standard research, and documentation were produced in collaboration with Claude Code.</w:t>
      </w:r>
    </w:p>
    <w:p>
      <w:pPr>
        <w:pStyle w:val="Heading2"/>
      </w:pPr>
      <w:r>
        <w:t>DICOM Standard Reference</w:t>
      </w:r>
    </w:p>
    <w:p>
      <w:r>
        <w:t>Implementation follows the DICOM Standard published by NEMA: DICOM PS3 (2024b) — https://dicom.nema.org/medical/dicom/current</w:t>
      </w:r>
    </w:p>
    <w:p>
      <w:pPr>
        <w:pStyle w:val="Heading2"/>
      </w:pPr>
      <w:r>
        <w:t>Open-Source Libraries</w:t>
      </w:r>
    </w:p>
    <w:p>
      <w:r>
        <w:t>dicomhdr is built on the following open-source projects: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Library</w:t>
            </w:r>
          </w:p>
        </w:tc>
        <w:tc>
          <w:tcPr>
            <w:tcW w:type="dxa" w:w="2340"/>
          </w:tcPr>
          <w:p>
            <w:r>
              <w:rPr>
                <w:b/>
              </w:rPr>
              <w:t>Repository</w:t>
            </w:r>
          </w:p>
        </w:tc>
        <w:tc>
          <w:tcPr>
            <w:tcW w:type="dxa" w:w="2340"/>
          </w:tcPr>
          <w:p>
            <w:r>
              <w:rPr>
                <w:b/>
              </w:rPr>
              <w:t>Licence</w:t>
            </w:r>
          </w:p>
        </w:tc>
        <w:tc>
          <w:tcPr>
            <w:tcW w:type="dxa" w:w="2340"/>
          </w:tcPr>
          <w:p>
            <w:r>
              <w:rPr>
                <w:b/>
              </w:rPr>
              <w:t>Purpose</w:t>
            </w:r>
          </w:p>
        </w:tc>
      </w:tr>
      <w:tr>
        <w:tc>
          <w:tcPr>
            <w:tcW w:type="dxa" w:w="2340"/>
          </w:tcPr>
          <w:p>
            <w:r>
              <w:t>fyne.io/fyne/v2  v2.7.3</w:t>
            </w:r>
          </w:p>
        </w:tc>
        <w:tc>
          <w:tcPr>
            <w:tcW w:type="dxa" w:w="2340"/>
          </w:tcPr>
          <w:p>
            <w:r>
              <w:t>fyne.io/fyne/v2</w:t>
            </w:r>
          </w:p>
        </w:tc>
        <w:tc>
          <w:tcPr>
            <w:tcW w:type="dxa" w:w="2340"/>
          </w:tcPr>
          <w:p>
            <w:r>
              <w:t>BSD 3-Clause</w:t>
            </w:r>
          </w:p>
        </w:tc>
        <w:tc>
          <w:tcPr>
            <w:tcW w:type="dxa" w:w="2340"/>
          </w:tcPr>
          <w:p>
            <w:r>
              <w:t>GUI framework</w:t>
            </w:r>
          </w:p>
        </w:tc>
      </w:tr>
      <w:tr>
        <w:tc>
          <w:tcPr>
            <w:tcW w:type="dxa" w:w="2340"/>
          </w:tcPr>
          <w:p>
            <w:r>
              <w:t>suyashkumar/dicom  v1.1.0</w:t>
            </w:r>
          </w:p>
        </w:tc>
        <w:tc>
          <w:tcPr>
            <w:tcW w:type="dxa" w:w="2340"/>
          </w:tcPr>
          <w:p>
            <w:r>
              <w:t>github.com/suyashkumar/dicom</w:t>
            </w:r>
          </w:p>
        </w:tc>
        <w:tc>
          <w:tcPr>
            <w:tcW w:type="dxa" w:w="2340"/>
          </w:tcPr>
          <w:p>
            <w:r>
              <w:t>MIT</w:t>
            </w:r>
          </w:p>
        </w:tc>
        <w:tc>
          <w:tcPr>
            <w:tcW w:type="dxa" w:w="2340"/>
          </w:tcPr>
          <w:p>
            <w:r>
              <w:t>DICOM file parsing and data dictionary</w:t>
            </w:r>
          </w:p>
        </w:tc>
      </w:tr>
      <w:tr>
        <w:tc>
          <w:tcPr>
            <w:tcW w:type="dxa" w:w="2340"/>
          </w:tcPr>
          <w:p>
            <w:r>
              <w:t>sqweek/dialog</w:t>
            </w:r>
          </w:p>
        </w:tc>
        <w:tc>
          <w:tcPr>
            <w:tcW w:type="dxa" w:w="2340"/>
          </w:tcPr>
          <w:p>
            <w:r>
              <w:t>github.com/sqweek/dialog</w:t>
            </w:r>
          </w:p>
        </w:tc>
        <w:tc>
          <w:tcPr>
            <w:tcW w:type="dxa" w:w="2340"/>
          </w:tcPr>
          <w:p>
            <w:r>
              <w:t>ISC</w:t>
            </w:r>
          </w:p>
        </w:tc>
        <w:tc>
          <w:tcPr>
            <w:tcW w:type="dxa" w:w="2340"/>
          </w:tcPr>
          <w:p>
            <w:r>
              <w:t>Native Windows file/folder picker dialogs</w:t>
            </w:r>
          </w:p>
        </w:tc>
      </w:tr>
    </w:tbl>
    <w:p>
      <w:r>
        <w:t>All libraries are used under their respective open-source licences.</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multilevel"/>
    <w:lvl w:ilvl="0">
      <w:start w:val="1"/>
      <w:numFmt w:val="bullet"/>
      <w:lvlText w:val="•"/>
      <w:lvlJc w:val="left"/>
      <w:pPr>
        <w:ind w:left="720" w:hanging="360"/>
      </w:pPr>
    </w:lvl>
    <w:lvl w:ilvl="1">
      <w:start w:val="1"/>
      <w:numFmt w:val="bullet"/>
      <w:lvlText w:val="o"/>
      <w:lvlJc w:val="left"/>
      <w:pPr>
        <w:ind w:left="1440" w:hanging="360"/>
      </w:pPr>
    </w:lvl>
  </w:abstractNum>
  <w:num w:numId="1">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style w:type="paragraph" w:default="1" w:styleId="Normal">
    <w:name w:val="Normal"/>
    <w:rPr>
      <w:sz w:val="20"/>
      <w:szCs w:val="20"/>
    </w:rPr>
  </w:style>
  <w:style w:type="paragraph" w:styleId="Heading1">
    <w:name w:val="heading 1"/>
    <w:basedOn w:val="Normal"/>
    <w:pPr>
      <w:keepNext/>
      <w:spacing w:before="400" w:after="100"/>
    </w:pPr>
    <w:rPr>
      <w:b/>
      <w:bCs/>
      <w:sz w:val="36"/>
      <w:szCs w:val="36"/>
    </w:rPr>
  </w:style>
  <w:style w:type="paragraph" w:styleId="Heading2">
    <w:name w:val="heading 2"/>
    <w:basedOn w:val="Normal"/>
    <w:pPr>
      <w:keepNext/>
      <w:spacing w:before="280" w:after="80"/>
    </w:pPr>
    <w:rPr>
      <w:b/>
      <w:bCs/>
      <w:sz w:val="28"/>
      <w:szCs w:val="28"/>
    </w:rPr>
  </w:style>
  <w:style w:type="paragraph" w:styleId="Heading3">
    <w:name w:val="heading 3"/>
    <w:basedOn w:val="Normal"/>
    <w:pPr>
      <w:keepNext/>
      <w:spacing w:before="200" w:after="60"/>
    </w:pPr>
    <w:rPr>
      <w:b/>
      <w:bCs/>
      <w:sz w:val="24"/>
      <w:szCs w:val="24"/>
    </w:rPr>
  </w:style>
  <w:style w:type="paragraph" w:styleId="ListParagraph">
    <w:name w:val="List Paragraph"/>
    <w:basedOn w:val="Normal"/>
    <w:pPr>
      <w:ind w:left="720"/>
      <w:contextualSpacing/>
    </w:p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s>
</file>