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v1.0.0</w:t>
      </w:r>
    </w:p>
    <w:p>
      <w:pPr>
        <w:spacing w:before="0" w:after="240"/>
        <w:jc w:val="center"/>
      </w:pPr>
      <w:r>
        <w:rPr>
          <w:color w:val="595959"/>
          <w:sz w:val="24"/>
          <w:szCs w:val="24"/>
        </w:rPr>
        <w:t xml:space="preserve">June 4, 2026</w:t>
      </w:r>
    </w:p>
    <w:p>
      <w:pPr>
        <w:spacing w:before="0" w:after="480"/>
        <w:jc w:val="center"/>
      </w:pPr>
      <w:r>
        <w:t xml:space="preserve">A Windows desktop application for querying and retrieving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and retrieving DICOM medical imaging studies from a PACS (Picture Archiving and Communication System) server. It communicates with the PACS using the standard DICOM networking services — C-FIND for searching and C-MOVE or C-GET for retrieval — and includes an embedded C-STORE listener that receives files pushed by the PACS directly to a configured download folder.</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Support for multiple saved server profiles with independent connection settings</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choose the colour and font style (bold / italic) used to highlight selected rows, and the window size is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Retrieve.</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with an empty results tree and the status bar showing the application version. The window is restored to the size it had when last closed.</w:t>
      </w:r>
    </w:p>
    <w:p>
      <w:pPr>
        <w:pStyle w:val="Heading1"/>
      </w:pPr>
      <w:r>
        <w:t>3  The Main Window</w:t>
      </w:r>
    </w:p>
    <w:p>
      <w:r>
        <w:t xml:space="preserve">The main window is divided into four areas stacked vertically:</w:t>
      </w:r>
    </w:p>
    <w:p>
      <w:r>
        <w:t xml:space="preserve">Server row — the topmost bar. On the left side: the server profile selector, a Filters toggle button, and a Search button. On the right side: the Connect, Disconnect, and Test (C-ECHO) buttons.</w:t>
      </w:r>
    </w:p>
    <w:p>
      <w:r>
        <w:t xml:space="preserve">Filter bar — a text field that narrows the results tree to rows whose label contains the typed text, plus Expand All, Collapse All, and Clear buttons.</w:t>
      </w:r>
    </w:p>
    <w:p>
      <w:r>
        <w:t xml:space="preserve">Results tree — the main area of the window. Displays query results organised hierarchically as Patient &gt; Study &gt; Series. Expands to fill all available space between the server row and the retrieve panel.</w:t>
      </w:r>
    </w:p>
    <w:p>
      <w:r>
        <w:t xml:space="preserve">Retrieve panel and status bar — the bottom area. Contains the download folder field, the Retrieve Selected and Cancel buttons, the Select All and Clear Selection buttons, and the status bar.</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Connections.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to use: study (Study Root) or patient (Patient Root). Use the model required by your PACS; Study Root is most common.</w:t>
            </w:r>
          </w:p>
        </w:tc>
      </w:tr>
      <w:tr>
        <w:tc>
          <w:tcPr>
            <w:tcW w:w="2700" w:type="dxa"/>
            <w:shd w:val="clear" w:color="auto" w:fill="F5F5F5"/>
          </w:tcPr>
          <w:p>
            <w:r>
              <w:t xml:space="preserve">Retrieve method</w:t>
            </w:r>
          </w:p>
        </w:tc>
        <w:tc>
          <w:tcPr>
            <w:tcW w:w="6300" w:type="dxa"/>
            <w:shd w:val="clear" w:color="auto" w:fill="F5F5F5"/>
          </w:tcPr>
          <w:p>
            <w:r>
              <w:t xml:space="preserve">Controls how files are fetched. 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bl>
    <w:p/>
    <w:p>
      <w:r>
        <w:t xml:space="preserve">The first profile in the list is selected by default when the application starts.</w:t>
      </w:r>
    </w:p>
    <w:p>
      <w:pPr>
        <w:pStyle w:val="Heading2"/>
      </w:pPr>
      <w:r>
        <w:t>4.2  Connecting</w:t>
      </w:r>
    </w:p>
    <w:p>
      <w:r>
        <w:t xml:space="preserve">Select a server profile from the dropdown in the server row, then click Connect (or select File &gt; Connect). The application sends a C-ECHO to verify basic DICOM connectivity before marking the session as connected. The status bar updates to show the connected server, its address, and the address and AE Title of the local SCP listener.</w:t>
      </w:r>
    </w:p>
    <w:p>
      <w:r>
        <w:t xml:space="preserve">If the C-ECHO fails, the status bar shows a connection error and the application remains in the disconnected state.</w:t>
      </w:r>
    </w:p>
    <w:p>
      <w:r>
        <w:t xml:space="preserve">After the C-ECHO succeeds, dicomqr starts the embedded C-STORE listener on the configured local SCP port. If that port is already in use — most often because a previous copy of dicomqr is still running, for example after the application was force-closed via Task Manager — a dialog appears reporting "port N is already in use" and the application stays disconnected. Close the other instance (check Task Manager for dicomqr.exe) and click Connect again. dicomqr retries the port briefly on connect, so a normal close-and-reopen does not trigger this message.</w:t>
      </w:r>
    </w:p>
    <w:p>
      <w:pPr>
        <w:pStyle w:val="Heading2"/>
      </w:pPr>
      <w:r>
        <w:t>4.3  Testing Connectivity</w:t>
      </w:r>
    </w:p>
    <w:p>
      <w:r>
        <w:t xml:space="preserve">Click Test (C-ECHO) at any time while connected to send a C-ECHO ping to the PACS. The status bar reports success or failure. This is useful for confirming the PACS is still reachable without running a full query.</w:t>
      </w:r>
    </w:p>
    <w:p>
      <w:pPr>
        <w:pStyle w:val="Heading2"/>
      </w:pPr>
      <w:r>
        <w:t>4.4  Disconnecting</w:t>
      </w:r>
    </w:p>
    <w:p>
      <w:r>
        <w:t xml:space="preserve">Click Disconnect (or select File &gt; Disconnect) to close the session. Any in-progress query is cancelled and the local SCP listener is stopped. The results tree is not cleared automatically; use Query &gt; Clear results to remove the current results.</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UI (by default, bold in the theme's primary accent colour — see Section 11.1). Click the same row again to deselect it. Multiple rows at any level (patient, study, or series) may be selected simultaneously.</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2"/>
      </w:pPr>
      <w:r>
        <w:t>6.5  Tooltips</w:t>
      </w:r>
    </w:p>
    <w:p>
      <w:r>
        <w:t xml:space="preserve">Hovering the mouse cursor over a study or series row for approximately 0.6 seconds displays a tooltip showing the Study Instance UID and Accession Number (for study rows) or the Series Instance UID and Modality (for series rows). Moving the cursor off the row dismisses the tooltip immediately.</w:t>
      </w:r>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pPr>
        <w:pStyle w:val="Heading2"/>
      </w:pPr>
      <w:r>
        <w:t>7.3  Progress</w:t>
      </w:r>
    </w:p>
    <w:p>
      <w:r>
        <w:t xml:space="preserve">The progress bar tracks completion across all selected studies and series, advancing as each study or series finishes. For C-MOVE the bar also advances within a study as individual files arrive; for C-GET it advances once per completed target.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9  Menus</w:t>
      </w:r>
    </w:p>
    <w:p>
      <w:pPr>
        <w:pStyle w:val="Heading2"/>
      </w:pPr>
      <w:r>
        <w:t>9.1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 Equivalent to clicking the Connect button.</w:t>
            </w:r>
          </w:p>
        </w:tc>
      </w:tr>
      <w:tr>
        <w:tc>
          <w:tcPr>
            <w:tcW w:w="2700" w:type="dxa"/>
            <w:shd w:val="clear" w:color="auto" w:fill="F5F5F5"/>
          </w:tcPr>
          <w:p>
            <w:r>
              <w:t xml:space="preserve">Disconnect</w:t>
            </w:r>
          </w:p>
        </w:tc>
        <w:tc>
          <w:tcPr>
            <w:tcW w:w="6300" w:type="dxa"/>
            <w:shd w:val="clear" w:color="auto" w:fill="F5F5F5"/>
          </w:tcPr>
          <w:p>
            <w:r>
              <w:t xml:space="preserve">Ends the current PACS session and stops the local SCP listener.</w:t>
            </w:r>
          </w:p>
        </w:tc>
      </w:tr>
      <w:tr>
        <w:tc>
          <w:tcPr>
            <w:tcW w:w="2700" w:type="dxa"/>
          </w:tcPr>
          <w:p>
            <w:r>
              <w:t xml:space="preserve">Preferences…</w:t>
            </w:r>
          </w:p>
        </w:tc>
        <w:tc>
          <w:tcPr>
            <w:tcW w:w="6300" w:type="dxa"/>
          </w:tcPr>
          <w:p>
            <w:r>
              <w:t xml:space="preserve">Opens the Preferences dialog. See Section 11.</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9.2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 using the values in the Filters panel.</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9.3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About</w:t>
            </w:r>
          </w:p>
        </w:tc>
        <w:tc>
          <w:tcPr>
            <w:tcW w:w="6300" w:type="dxa"/>
          </w:tcPr>
          <w:p>
            <w:r>
              <w:t xml:space="preserve">Displays the application version and build date.</w:t>
            </w:r>
          </w:p>
        </w:tc>
      </w:tr>
      <w:tr>
        <w:tc>
          <w:tcPr>
            <w:tcW w:w="2700" w:type="dxa"/>
            <w:shd w:val="clear" w:color="auto" w:fill="F5F5F5"/>
          </w:tcPr>
          <w:p>
            <w:r>
              <w:t xml:space="preserve">Client info…</w:t>
            </w:r>
          </w:p>
        </w:tc>
        <w:tc>
          <w:tcPr>
            <w:tcW w:w="6300" w:type="dxa"/>
            <w:shd w:val="clear" w:color="auto" w:fill="F5F5F5"/>
          </w:tcPr>
          <w:p>
            <w:r>
              <w:t xml:space="preserve">Displays the local AE Title, SCP port, and detected IP address of this workstation. These values must be registered on the PACS to enable C-MOVE file delivery.</w:t>
            </w:r>
          </w:p>
        </w:tc>
      </w:tr>
    </w:tbl>
    <w:p/>
    <w:p>
      <w:pPr>
        <w:pStyle w:val="Heading1"/>
      </w:pPr>
      <w:r>
        <w:t>10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pPr>
        <w:pStyle w:val="Heading1"/>
      </w:pPr>
      <w:r>
        <w:t>11  Preferences</w:t>
      </w:r>
    </w:p>
    <w:p>
      <w:r>
        <w:t xml:space="preserve">Open the Preferences dialog from File &gt; Preferences…. Changes take effect when Apply is clicked and are written immediately to disk. Clicking Cancel discards all pending changes.</w:t>
      </w:r>
    </w:p>
    <w:p>
      <w:pPr>
        <w:pStyle w:val="Heading2"/>
      </w:pPr>
      <w:r>
        <w:t>11.1  UI Section</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Theme</w:t>
            </w:r>
          </w:p>
        </w:tc>
        <w:tc>
          <w:tcPr>
            <w:tcW w:w="6300" w:type="dxa"/>
          </w:tcPr>
          <w:p>
            <w:r>
              <w:t xml:space="preserve">Selects the application colour theme. Choose Light or Dark. The change applies immediately to all UI elements.</w:t>
            </w:r>
          </w:p>
        </w:tc>
      </w:tr>
      <w:tr>
        <w:tc>
          <w:tcPr>
            <w:tcW w:w="2700" w:type="dxa"/>
            <w:shd w:val="clear" w:color="auto" w:fill="F5F5F5"/>
          </w:tcPr>
          <w:p>
            <w:r>
              <w:t xml:space="preserve">Tree font</w:t>
            </w:r>
          </w:p>
        </w:tc>
        <w:tc>
          <w:tcPr>
            <w:tcW w:w="6300" w:type="dxa"/>
            <w:shd w:val="clear" w:color="auto" w:fill="F5F5F5"/>
          </w:tcPr>
          <w:p>
            <w:r>
              <w:t xml:space="preserve">Selects the font used to render rows in the results tree. The dropdown lists all TrueType (.ttf) and OpenType (.otf) fonts installed on the system. Select (default) to use the application's built-in font.</w:t>
            </w:r>
          </w:p>
        </w:tc>
      </w:tr>
      <w:tr>
        <w:tc>
          <w:tcPr>
            <w:tcW w:w="2700" w:type="dxa"/>
          </w:tcPr>
          <w:p>
            <w:r>
              <w:t xml:space="preserve">Selection colour</w:t>
            </w:r>
          </w:p>
        </w:tc>
        <w:tc>
          <w:tcPr>
            <w:tcW w:w="6300" w:type="dxa"/>
          </w:tcPr>
          <w:p>
            <w:r>
              <w:t xml:space="preserve">The colour used to draw selected rows in the results tree. Click Choose colour… to open a colour picker; the swatch shows the current choice. If left unset, selected rows follow the theme's primary accent colour.</w:t>
            </w:r>
          </w:p>
        </w:tc>
      </w:tr>
      <w:tr>
        <w:tc>
          <w:tcPr>
            <w:tcW w:w="2700" w:type="dxa"/>
            <w:shd w:val="clear" w:color="auto" w:fill="F5F5F5"/>
          </w:tcPr>
          <w:p>
            <w:r>
              <w:t xml:space="preserve">Selection style</w:t>
            </w:r>
          </w:p>
        </w:tc>
        <w:tc>
          <w:tcPr>
            <w:tcW w:w="6300" w:type="dxa"/>
            <w:shd w:val="clear" w:color="auto" w:fill="F5F5F5"/>
          </w:tcPr>
          <w:p>
            <w:r>
              <w:t xml:space="preserve">The font style applied to selected rows. Tick Bold and/or Italic in any combination.</w:t>
            </w:r>
          </w:p>
        </w:tc>
      </w:tr>
    </w:tbl>
    <w:p/>
    <w:p>
      <w:pPr>
        <w:pStyle w:val="Heading2"/>
      </w:pPr>
      <w:r>
        <w:t>11.2  Connections Section</w:t>
      </w:r>
    </w:p>
    <w:p>
      <w:r>
        <w:t xml:space="preserve">The Connections section lists all saved server profiles. Each entry shows the profile name and its connection details.</w:t>
      </w:r>
    </w:p>
    <w:p>
      <w:r>
        <w:t xml:space="preserve">Click Edit on any entry to open the profile editor. Click Delete to remove a profile from the list. Click Add server… to create a new profile.</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for this server, used in the server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server (case-sensitive, uppercase recommended).</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of the PACS DICOM service (commonly 104 or 11112).</w:t>
            </w:r>
          </w:p>
        </w:tc>
      </w:tr>
      <w:tr>
        <w:tc>
          <w:tcPr>
            <w:tcW w:w="2700" w:type="dxa"/>
          </w:tcPr>
          <w:p>
            <w:r>
              <w:t xml:space="preserve">Info model</w:t>
            </w:r>
          </w:p>
        </w:tc>
        <w:tc>
          <w:tcPr>
            <w:tcW w:w="6300" w:type="dxa"/>
          </w:tcPr>
          <w:p>
            <w:r>
              <w:t xml:space="preserve">The DICOM Q/R information model: study (Study Root) or patient (Patient Root).</w:t>
            </w:r>
          </w:p>
        </w:tc>
      </w:tr>
      <w:tr>
        <w:tc>
          <w:tcPr>
            <w:tcW w:w="2700" w:type="dxa"/>
            <w:shd w:val="clear" w:color="auto" w:fill="F5F5F5"/>
          </w:tcPr>
          <w:p>
            <w:r>
              <w:t xml:space="preserve">Retrieve method</w:t>
            </w:r>
          </w:p>
        </w:tc>
        <w:tc>
          <w:tcPr>
            <w:tcW w:w="6300" w:type="dxa"/>
            <w:shd w:val="clear" w:color="auto" w:fill="F5F5F5"/>
          </w:tcPr>
          <w:p>
            <w:r>
              <w:t xml:space="preserve">C-MOVE (default) — PACS pushes files to the local SCP. C-GET — PACS returns files over the same association; no inbound port or destination registration required. Auto — tries C-GET first, falls back to C-MOVE.</w:t>
            </w:r>
          </w:p>
        </w:tc>
      </w:tr>
    </w:tbl>
    <w:p/>
    <w:p>
      <w:pPr>
        <w:pStyle w:val="Heading2"/>
      </w:pPr>
      <w:r>
        <w:t>11.3  Retrieve Section</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Application Entity Title this workstation presents to the PACS. Must match the AE Title registered on the PACS.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dicomqr listens for incoming file transfers from the PACS. The PACS must be able to reach this port. Default: 11112.</w:t>
            </w:r>
          </w:p>
        </w:tc>
      </w:tr>
    </w:tbl>
    <w:p/>
    <w:p>
      <w:r>
        <w:t xml:space="preserve">Changes to the AE Title or SCP port take effect the next time a connection is established (disconnect and reconnect after applying).</w:t>
      </w:r>
    </w:p>
    <w:p>
      <w:pPr>
        <w:pStyle w:val="Heading1"/>
      </w:pPr>
      <w:r>
        <w:t>12  Status Bar</w:t>
      </w:r>
    </w:p>
    <w:p>
      <w:r>
        <w:t xml:space="preserve">The status bar at the bottom of the window provides real-time feedback on the application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v1.0.0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  |  SCP &lt;address&gt; (AE: &lt;title&gt;)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Local SCP failed to start (e.g. port in use)</w:t>
            </w:r>
          </w:p>
        </w:tc>
        <w:tc>
          <w:tcPr>
            <w:tcW w:w="6300" w:type="dxa"/>
            <w:shd w:val="clear" w:color="auto" w:fill="F5F5F5"/>
          </w:tcPr>
          <w:p>
            <w:r>
              <w:rPr>
                <w:rFonts w:ascii="Courier New" w:hAnsi="Courier New"/>
                <w:sz w:val="18"/>
                <w:szCs w:val="18"/>
                <w:shd w:val="clear" w:color="auto" w:fill="EBEBEB"/>
              </w:rPr>
              <w:t xml:space="preserve">SCP error: &lt;reason&gt;</w:t>
            </w:r>
          </w:p>
        </w:tc>
      </w:tr>
      <w:tr>
        <w:tc>
          <w:tcPr>
            <w:tcW w:w="2700" w:type="dxa"/>
          </w:tcPr>
          <w:p>
            <w:r>
              <w:t xml:space="preserve">Disconnected</w:t>
            </w:r>
          </w:p>
        </w:tc>
        <w:tc>
          <w:tcPr>
            <w:tcW w:w="6300" w:type="dxa"/>
          </w:tcPr>
          <w:p>
            <w:r>
              <w:rPr>
                <w:rFonts w:ascii="Courier New" w:hAnsi="Courier New"/>
                <w:sz w:val="18"/>
                <w:szCs w:val="18"/>
                <w:shd w:val="clear" w:color="auto" w:fill="EBEBEB"/>
              </w:rPr>
              <w:t xml:space="preserve">Disconnected</w:t>
            </w:r>
          </w:p>
        </w:tc>
      </w:tr>
      <w:tr>
        <w:tc>
          <w:tcPr>
            <w:tcW w:w="2700" w:type="dxa"/>
            <w:shd w:val="clear" w:color="auto" w:fill="F5F5F5"/>
          </w:tcPr>
          <w:p>
            <w:r>
              <w:t xml:space="preserve">Query in progress</w:t>
            </w:r>
          </w:p>
        </w:tc>
        <w:tc>
          <w:tcPr>
            <w:tcW w:w="6300" w:type="dxa"/>
            <w:shd w:val="clear" w:color="auto" w:fill="F5F5F5"/>
          </w:tcPr>
          <w:p>
            <w:r>
              <w:rPr>
                <w:rFonts w:ascii="Courier New" w:hAnsi="Courier New"/>
                <w:sz w:val="18"/>
                <w:szCs w:val="18"/>
                <w:shd w:val="clear" w:color="auto" w:fill="EBEBEB"/>
              </w:rPr>
              <w:t xml:space="preserve">Querying…</w:t>
            </w:r>
          </w:p>
        </w:tc>
      </w:tr>
      <w:tr>
        <w:tc>
          <w:tcPr>
            <w:tcW w:w="2700" w:type="dxa"/>
          </w:tcPr>
          <w:p>
            <w:r>
              <w:t xml:space="preserve">Loading results into the tree</w:t>
            </w:r>
          </w:p>
        </w:tc>
        <w:tc>
          <w:tcPr>
            <w:tcW w:w="6300" w:type="dxa"/>
          </w:tcPr>
          <w:p>
            <w:r>
              <w:rPr>
                <w:rFonts w:ascii="Courier New" w:hAnsi="Courier New"/>
                <w:sz w:val="18"/>
                <w:szCs w:val="18"/>
                <w:shd w:val="clear" w:color="auto" w:fill="EBEBEB"/>
              </w:rPr>
              <w:t xml:space="preserve">Loading results… &lt;N&gt;/&lt;total&gt;</w:t>
            </w:r>
          </w:p>
        </w:tc>
      </w:tr>
      <w:tr>
        <w:tc>
          <w:tcPr>
            <w:tcW w:w="2700" w:type="dxa"/>
            <w:shd w:val="clear" w:color="auto" w:fill="F5F5F5"/>
          </w:tcPr>
          <w:p>
            <w:r>
              <w:t xml:space="preserve">Query complete</w:t>
            </w:r>
          </w:p>
        </w:tc>
        <w:tc>
          <w:tcPr>
            <w:tcW w:w="6300" w:type="dxa"/>
            <w:shd w:val="clear" w:color="auto" w:fill="F5F5F5"/>
          </w:tcPr>
          <w:p>
            <w:r>
              <w:rPr>
                <w:rFonts w:ascii="Courier New" w:hAnsi="Courier New"/>
                <w:sz w:val="18"/>
                <w:szCs w:val="18"/>
                <w:shd w:val="clear" w:color="auto" w:fill="EBEBEB"/>
              </w:rPr>
              <w:t xml:space="preserve">Query complete — &lt;N&gt; studies</w:t>
            </w:r>
          </w:p>
        </w:tc>
      </w:tr>
      <w:tr>
        <w:tc>
          <w:tcPr>
            <w:tcW w:w="2700" w:type="dxa"/>
          </w:tcPr>
          <w:p>
            <w:r>
              <w:t xml:space="preserve">Query error</w:t>
            </w:r>
          </w:p>
        </w:tc>
        <w:tc>
          <w:tcPr>
            <w:tcW w:w="6300" w:type="dxa"/>
          </w:tcPr>
          <w:p>
            <w:r>
              <w:rPr>
                <w:rFonts w:ascii="Courier New" w:hAnsi="Courier New"/>
                <w:sz w:val="18"/>
                <w:szCs w:val="18"/>
                <w:shd w:val="clear" w:color="auto" w:fill="EBEBEB"/>
              </w:rPr>
              <w:t xml:space="preserve">Query error: &lt;reason&gt;</w:t>
            </w:r>
          </w:p>
        </w:tc>
      </w:tr>
      <w:tr>
        <w:tc>
          <w:tcPr>
            <w:tcW w:w="2700" w:type="dxa"/>
            <w:shd w:val="clear" w:color="auto" w:fill="F5F5F5"/>
          </w:tcPr>
          <w:p>
            <w:r>
              <w:t xml:space="preserve">Retrieve starting</w:t>
            </w:r>
          </w:p>
        </w:tc>
        <w:tc>
          <w:tcPr>
            <w:tcW w:w="6300" w:type="dxa"/>
            <w:shd w:val="clear" w:color="auto" w:fill="F5F5F5"/>
          </w:tcPr>
          <w:p>
            <w:r>
              <w:rPr>
                <w:rFonts w:ascii="Courier New" w:hAnsi="Courier New"/>
                <w:sz w:val="18"/>
                <w:szCs w:val="18"/>
                <w:shd w:val="clear" w:color="auto" w:fill="EBEBEB"/>
              </w:rPr>
              <w:t xml:space="preserve">Starting retrieve of &lt;N&gt; studies…</w:t>
            </w:r>
          </w:p>
        </w:tc>
      </w:tr>
      <w:tr>
        <w:tc>
          <w:tcPr>
            <w:tcW w:w="2700" w:type="dxa"/>
          </w:tcPr>
          <w:p>
            <w:r>
              <w:t xml:space="preserve">Retrieve in progress (study)</w:t>
            </w:r>
          </w:p>
        </w:tc>
        <w:tc>
          <w:tcPr>
            <w:tcW w:w="6300" w:type="dxa"/>
          </w:tcPr>
          <w:p>
            <w:r>
              <w:rPr>
                <w:rFonts w:ascii="Courier New" w:hAnsi="Courier New"/>
                <w:sz w:val="18"/>
                <w:szCs w:val="18"/>
                <w:shd w:val="clear" w:color="auto" w:fill="EBEBEB"/>
              </w:rPr>
              <w:t xml:space="preserve">Retrieving study &lt;N&gt;/&lt;total&gt;…</w:t>
            </w:r>
          </w:p>
        </w:tc>
      </w:tr>
      <w:tr>
        <w:tc>
          <w:tcPr>
            <w:tcW w:w="2700" w:type="dxa"/>
            <w:shd w:val="clear" w:color="auto" w:fill="F5F5F5"/>
          </w:tcPr>
          <w:p>
            <w:r>
              <w:t xml:space="preserve">Retrieve in progress (series)</w:t>
            </w:r>
          </w:p>
        </w:tc>
        <w:tc>
          <w:tcPr>
            <w:tcW w:w="6300" w:type="dxa"/>
            <w:shd w:val="clear" w:color="auto" w:fill="F5F5F5"/>
          </w:tcPr>
          <w:p>
            <w:r>
              <w:rPr>
                <w:rFonts w:ascii="Courier New" w:hAnsi="Courier New"/>
                <w:sz w:val="18"/>
                <w:szCs w:val="18"/>
                <w:shd w:val="clear" w:color="auto" w:fill="EBEBEB"/>
              </w:rPr>
              <w:t xml:space="preserve">Retrieving series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(with warnings)</w:t>
            </w:r>
          </w:p>
        </w:tc>
        <w:tc>
          <w:tcPr>
            <w:tcW w:w="6300" w:type="dxa"/>
          </w:tcPr>
          <w:p>
            <w:r>
              <w:rPr>
                <w:rFonts w:ascii="Courier New" w:hAnsi="Courier New"/>
                <w:sz w:val="18"/>
                <w:szCs w:val="18"/>
                <w:shd w:val="clear" w:color="auto" w:fill="EBEBEB"/>
              </w:rPr>
              <w:t xml:space="preserve">Retrieved &lt;N&gt; files (&lt;X&gt;/&lt;total&gt; targets had errors — see log)</w:t>
            </w:r>
          </w:p>
        </w:tc>
      </w:tr>
      <w:tr>
        <w:tc>
          <w:tcPr>
            <w:tcW w:w="2700" w:type="dxa"/>
            <w:shd w:val="clear" w:color="auto" w:fill="F5F5F5"/>
          </w:tcPr>
          <w:p>
            <w:r>
              <w:t xml:space="preserve">Retrieve cancelled</w:t>
            </w:r>
          </w:p>
        </w:tc>
        <w:tc>
          <w:tcPr>
            <w:tcW w:w="6300" w:type="dxa"/>
            <w:shd w:val="clear" w:color="auto" w:fill="F5F5F5"/>
          </w:tcPr>
          <w:p>
            <w:r>
              <w:rPr>
                <w:rFonts w:ascii="Courier New" w:hAnsi="Courier New"/>
                <w:sz w:val="18"/>
                <w:szCs w:val="18"/>
                <w:shd w:val="clear" w:color="auto" w:fill="EBEBEB"/>
              </w:rPr>
              <w:t xml:space="preserve">Retrieve cancelled</w:t>
            </w:r>
          </w:p>
        </w:tc>
      </w:tr>
      <w:tr>
        <w:tc>
          <w:tcPr>
            <w:tcW w:w="2700" w:type="dxa"/>
          </w:tcPr>
          <w:p>
            <w:r>
              <w:t xml:space="preserve">C-ECHO test passed</w:t>
            </w:r>
          </w:p>
        </w:tc>
        <w:tc>
          <w:tcPr>
            <w:tcW w:w="6300" w:type="dxa"/>
          </w:tcPr>
          <w:p>
            <w:r>
              <w:rPr>
                <w:rFonts w:ascii="Courier New" w:hAnsi="Courier New"/>
                <w:sz w:val="18"/>
                <w:szCs w:val="18"/>
                <w:shd w:val="clear" w:color="auto" w:fill="EBEBEB"/>
              </w:rPr>
              <w:t xml:space="preserve">C-ECHO success</w:t>
            </w:r>
          </w:p>
        </w:tc>
      </w:tr>
      <w:tr>
        <w:tc>
          <w:tcPr>
            <w:tcW w:w="2700" w:type="dxa"/>
            <w:shd w:val="clear" w:color="auto" w:fill="F5F5F5"/>
          </w:tcPr>
          <w:p>
            <w:r>
              <w:t xml:space="preserve">C-ECHO test failed</w:t>
            </w:r>
          </w:p>
        </w:tc>
        <w:tc>
          <w:tcPr>
            <w:tcW w:w="6300" w:type="dxa"/>
            <w:shd w:val="clear" w:color="auto" w:fill="F5F5F5"/>
          </w:tcPr>
          <w:p>
            <w:r>
              <w:rPr>
                <w:rFonts w:ascii="Courier New" w:hAnsi="Courier New"/>
                <w:sz w:val="18"/>
                <w:szCs w:val="18"/>
                <w:shd w:val="clear" w:color="auto" w:fill="EBEBEB"/>
              </w:rPr>
              <w:t xml:space="preserve">C-ECHO failed: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 It can be edited manually; it is standard JSON.</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selection.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Name of the system font used for result tree rows. An empty string selects the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to the PACS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The TCP port on which the embedded C-STORE listener accepts incoming connections.</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The absolute path of the folder where retrieved DICOM files are written.</w:t>
            </w:r>
          </w:p>
        </w:tc>
      </w:tr>
      <w:tr>
        <w:tc>
          <w:tcPr>
            <w:tcW w:w="2200" w:type="dxa"/>
            <w:shd w:val="clear" w:color="auto" w:fill="F5F5F5"/>
          </w:tcPr>
          <w:p>
            <w:r>
              <w:rPr>
                <w:rFonts w:ascii="Courier New" w:hAnsi="Courier New"/>
                <w:sz w:val="18"/>
                <w:szCs w:val="18"/>
                <w:shd w:val="clear" w:color="auto" w:fill="EBEBEB"/>
              </w:rPr>
              <w:t xml:space="preserve">selectionColor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The colour applied to selected tree rows, as an RRGGBBAA hex string. An empty string follows the theme's primary colour.</w:t>
            </w:r>
          </w:p>
        </w:tc>
      </w:tr>
      <w:tr>
        <w:tc>
          <w:tcPr>
            <w:tcW w:w="2200" w:type="dxa"/>
          </w:tcPr>
          <w:p>
            <w:r>
              <w:rPr>
                <w:rFonts w:ascii="Courier New" w:hAnsi="Courier New"/>
                <w:sz w:val="18"/>
                <w:szCs w:val="18"/>
                <w:shd w:val="clear" w:color="auto" w:fill="EBEBEB"/>
              </w:rPr>
              <w:t xml:space="preserve">selectionBold</w:t>
            </w:r>
          </w:p>
        </w:tc>
        <w:tc>
          <w:tcPr>
            <w:tcW w:w="1600" w:type="dxa"/>
          </w:tcPr>
          <w:p>
            <w:r>
              <w:rPr>
                <w:rFonts w:ascii="Courier New" w:hAnsi="Courier New"/>
                <w:sz w:val="18"/>
                <w:szCs w:val="18"/>
                <w:shd w:val="clear" w:color="auto" w:fill="EBEBEB"/>
              </w:rPr>
              <w:t xml:space="preserve">true</w:t>
            </w:r>
          </w:p>
        </w:tc>
        <w:tc>
          <w:tcPr>
            <w:tcW w:w="5200" w:type="dxa"/>
          </w:tcPr>
          <w:p>
            <w:r>
              <w:t xml:space="preserve">Whether selected tree rows are drawn in bold.</w:t>
            </w:r>
          </w:p>
        </w:tc>
      </w:tr>
      <w:tr>
        <w:tc>
          <w:tcPr>
            <w:tcW w:w="2200" w:type="dxa"/>
            <w:shd w:val="clear" w:color="auto" w:fill="F5F5F5"/>
          </w:tcPr>
          <w:p>
            <w:r>
              <w:rPr>
                <w:rFonts w:ascii="Courier New" w:hAnsi="Courier New"/>
                <w:sz w:val="18"/>
                <w:szCs w:val="18"/>
                <w:shd w:val="clear" w:color="auto" w:fill="EBEBEB"/>
              </w:rPr>
              <w:t xml:space="preserve">selectionItalic</w:t>
            </w:r>
          </w:p>
        </w:tc>
        <w:tc>
          <w:tcPr>
            <w:tcW w:w="1600" w:type="dxa"/>
            <w:shd w:val="clear" w:color="auto" w:fill="F5F5F5"/>
          </w:tcPr>
          <w:p>
            <w:r>
              <w:rPr>
                <w:rFonts w:ascii="Courier New" w:hAnsi="Courier New"/>
                <w:sz w:val="18"/>
                <w:szCs w:val="18"/>
                <w:shd w:val="clear" w:color="auto" w:fill="EBEBEB"/>
              </w:rPr>
              <w:t xml:space="preserve">false</w:t>
            </w:r>
          </w:p>
        </w:tc>
        <w:tc>
          <w:tcPr>
            <w:tcW w:w="5200" w:type="dxa"/>
            <w:shd w:val="clear" w:color="auto" w:fill="F5F5F5"/>
          </w:tcPr>
          <w:p>
            <w:r>
              <w:t xml:space="preserve">Whether selected tree rows are drawn in italic.</w:t>
            </w:r>
          </w:p>
        </w:tc>
      </w:tr>
      <w:tr>
        <w:tc>
          <w:tcPr>
            <w:tcW w:w="2200" w:type="dxa"/>
          </w:tcPr>
          <w:p>
            <w:r>
              <w:rPr>
                <w:rFonts w:ascii="Courier New" w:hAnsi="Courier New"/>
                <w:sz w:val="18"/>
                <w:szCs w:val="18"/>
                <w:shd w:val="clear" w:color="auto" w:fill="EBEBEB"/>
              </w:rPr>
              <w:t xml:space="preserve">windowWidth</w:t>
            </w:r>
          </w:p>
        </w:tc>
        <w:tc>
          <w:tcPr>
            <w:tcW w:w="1600" w:type="dxa"/>
          </w:tcPr>
          <w:p>
            <w:r>
              <w:rPr>
                <w:rFonts w:ascii="Courier New" w:hAnsi="Courier New"/>
                <w:sz w:val="18"/>
                <w:szCs w:val="18"/>
                <w:shd w:val="clear" w:color="auto" w:fill="EBEBEB"/>
              </w:rPr>
              <w:t xml:space="preserve">0</w:t>
            </w:r>
          </w:p>
        </w:tc>
        <w:tc>
          <w:tcPr>
            <w:tcW w:w="5200" w:type="dxa"/>
          </w:tcPr>
          <w:p>
            <w:r>
              <w:t xml:space="preserve">The saved window width in pixels. 0 uses the default size; updated automatically when the application closes.</w:t>
            </w:r>
          </w:p>
        </w:tc>
      </w:tr>
      <w:tr>
        <w:tc>
          <w:tcPr>
            <w:tcW w:w="2200" w:type="dxa"/>
            <w:shd w:val="clear" w:color="auto" w:fill="F5F5F5"/>
          </w:tcPr>
          <w:p>
            <w:r>
              <w:rPr>
                <w:rFonts w:ascii="Courier New" w:hAnsi="Courier New"/>
                <w:sz w:val="18"/>
                <w:szCs w:val="18"/>
                <w:shd w:val="clear" w:color="auto" w:fill="EBEBEB"/>
              </w:rPr>
              <w:t xml:space="preserve">windowHeight</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The saved window height in pixels. 0 uses the default size; updated automatically when the application closes.</w:t>
            </w:r>
          </w:p>
        </w:tc>
      </w:tr>
      <w:tr>
        <w:tc>
          <w:tcPr>
            <w:tcW w:w="2200" w:type="dxa"/>
          </w:tcPr>
          <w:p>
            <w:r>
              <w:rPr>
                <w:rFonts w:ascii="Courier New" w:hAnsi="Courier New"/>
                <w:sz w:val="18"/>
                <w:szCs w:val="18"/>
                <w:shd w:val="clear" w:color="auto" w:fill="EBEBEB"/>
              </w:rPr>
              <w:t xml:space="preserve">profiles</w:t>
            </w:r>
          </w:p>
        </w:tc>
        <w:tc>
          <w:tcPr>
            <w:tcW w:w="1600" w:type="dxa"/>
          </w:tcPr>
          <w:p>
            <w:r>
              <w:t xml:space="preserve">See below</w:t>
            </w:r>
          </w:p>
        </w:tc>
        <w:tc>
          <w:tcPr>
            <w:tcW w:w="5200" w:type="dxa"/>
          </w:tcPr>
          <w:p>
            <w:r>
              <w:t xml:space="preserve">Array of saved server profile objects.</w:t>
            </w:r>
          </w:p>
        </w:tc>
      </w:tr>
    </w:tbl>
    <w:p/>
    <w:p>
      <w:r>
        <w:t xml:space="preserve">Each entry in the </w:t>
      </w:r>
      <w:r>
        <w:rPr>
          <w:rFonts w:ascii="Courier New" w:hAnsi="Courier New"/>
          <w:sz w:val="18"/>
          <w:szCs w:val="18"/>
          <w:shd w:val="clear" w:color="auto" w:fill="EBEBEB"/>
        </w:rPr>
        <w:t xml:space="preserve">profiles</w:t>
      </w:r>
      <w:r>
        <w:t xml:space="preserve"> array has the following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The 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The AE Title of the PACS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The hostname or IP address of the PACS server.</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The TCP port of the PACS DICOM service.</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or </w:t>
            </w:r>
            <w:r>
              <w:rPr>
                <w:rFonts w:ascii="Courier New" w:hAnsi="Courier New"/>
                <w:sz w:val="18"/>
                <w:szCs w:val="18"/>
                <w:shd w:val="clear" w:color="auto" w:fill="EBEBEB"/>
              </w:rPr>
              <w:t xml:space="preserve">"patient"</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the field defaults to C-MOVE.</w:t>
            </w:r>
          </w:p>
        </w:tc>
      </w:tr>
    </w:tbl>
    <w:p/>
    <w:p>
      <w:r>
        <w:br w:type="page"/>
      </w:r>
    </w:p>
    <w:p>
      <w:pPr>
        <w:pStyle w:val="Heading1"/>
      </w:pPr>
      <w:r>
        <w:t>Appendix B  PACS Configuration Notes</w:t>
      </w:r>
    </w:p>
    <w:p>
      <w:r>
        <w:t xml:space="preserve">The following points are commonly required when configuring a PACS to work with dicomqr:</w:t>
      </w:r>
    </w:p>
    <w:p>
      <w:r>
        <w:t xml:space="preserve">AE Title registration — The PACS must have a record of the local AE Title (default DICOMQR) associated with the workstation's IP address and SCP port. The exact menu path depends on the PACS software; look for "Known Destinations", "Remote AE Configuration", or similar.</w:t>
      </w:r>
    </w:p>
    <w:p>
      <w:r>
        <w:t xml:space="preserve">C-MOVE destination — For file delivery to work, the PACS must be configured to push files to the local SCP address. The PACS initiates the outbound connection; the workstation must be reachable at the IP and port shown in Help &gt; Client info…</w:t>
      </w:r>
    </w:p>
    <w:p>
      <w:r>
        <w:t xml:space="preserve">Windows Firewall — An inbound rule permitting TCP connections on the SCP port (default 11112) is required. Without it, the PACS connection attempt will be refused and no files will be delivered.</w:t>
      </w:r>
    </w:p>
    <w:p>
      <w:r>
        <w:t xml:space="preserve">Information model — Different PACS products implement either Study Root or Patient Root query models, or both. If queries return no results or an error, try changing the Info model field in the server profile from study to patient, or vice versa.</w:t>
      </w:r>
    </w:p>
    <w:p>
      <w:r>
        <w:t xml:space="preserve">IPv4 connectivity — dicomqr listens on an IPv4 socket only. The PACS must connect to the workstation's IPv4 address. Ensure the address shown in Help &gt; Client info… is the correct IPv4 address on the same network as the PACS.</w:t>
      </w:r>
    </w:p>
    <w:p>
      <w:r>
        <w:br w:type="page"/>
      </w:r>
    </w:p>
    <w:p>
      <w:pPr>
        <w:pStyle w:val="Heading1"/>
      </w:pPr>
      <w:r>
        <w:t>Appendix C  Credits and Acknowledgements</w:t>
      </w:r>
    </w:p>
    <w:p>
      <w:pPr>
        <w:pStyle w:val="Heading2"/>
      </w:pPr>
      <w:r>
        <w:t>Developer</w:t>
      </w:r>
    </w:p>
    <w:p>
      <w:r>
        <w:t xml:space="preserve">Jeffrey Leal</w:t>
      </w:r>
    </w:p>
    <w:p>
      <w:r>
        <w:t xml:space="preserve">Email: jeffrey.leal@gmail.com</w:t>
      </w:r>
    </w:p>
    <w:p>
      <w:r>
        <w:t xml:space="preserve">GitHub: https://github.com/jeffrey-leal</w:t>
      </w:r>
    </w:p>
    <w:p>
      <w:pPr>
        <w:pStyle w:val="Heading2"/>
      </w:pPr>
      <w:r>
        <w:t>AI Assistance</w:t>
      </w:r>
    </w:p>
    <w:p>
      <w:r>
        <w:t xml:space="preserve">This application was designed and developed with the assistance of Claude Sonnet 4.6 by Anthropic, accessed through Claude Code (https://claude.ai/code). Architecture planning, code generation, DICOM standard research, and documentation were produced in collaboration with Claude Code.</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for received files</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