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v1.24.0</w:t>
      </w:r>
    </w:p>
    <w:p>
      <w:pPr>
        <w:spacing w:before="0" w:after="240"/>
        <w:jc w:val="center"/>
      </w:pPr>
      <w:r>
        <w:rPr>
          <w:color w:val="595959"/>
          <w:sz w:val="24"/>
          <w:szCs w:val="24"/>
        </w:rPr>
        <w:t xml:space="preserve">October 15,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push reads each file's SOP class and transfer syntax first and offers the server exactly those, so any kind of DICOM object can be pushed: images, dose reports, structured reports, a vendor's private objects. When the server accepts a file's own transfer syntax, the stored bytes go out verbatim — no re-encoding, byte-perfect, including compressed files such as JPEG 2000. If the server accepts the file's SOP class only in an uncompressed syntax, the file is converted locally to it (on a temporary copy — the local file is never modified) and sent in that form. Compressed data is never sent under an uncompressed label.</w:t>
      </w:r>
    </w:p>
    <w:p>
      <w:r>
        <w:t xml:space="preserve">A file is skipped and counted as failed when the server does not accept its SOP class at all, or accepts it only in a compressed syntax other than the file's own (a file can be converted to an uncompressed syntax, never into a different compression), or when its conversion fails.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Edit and Add profile… open the editor in its own window; a tag line that does not parse is reported without closing it, so nothing typed is lost.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When the run ends, the window shows the summary and its button becomes Close.</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v1.24.0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