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v1.26.0</w:t>
      </w:r>
    </w:p>
    <w:p>
      <w:pPr>
        <w:spacing w:before="0" w:after="240"/>
        <w:jc w:val="center"/>
      </w:pPr>
      <w:r>
        <w:rPr>
          <w:color w:val="595959"/>
          <w:sz w:val="24"/>
          <w:szCs w:val="24"/>
        </w:rPr>
        <w:t xml:space="preserve">October 21,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r>
        <w:tc>
          <w:tcPr>
            <w:tcW w:w="2700" w:type="dxa"/>
          </w:tcPr>
          <w:p>
            <w:r>
              <w:t xml:space="preserve">Parallel transfers</w:t>
            </w:r>
          </w:p>
        </w:tc>
        <w:tc>
          <w:tcPr>
            <w:tcW w:w="6300" w:type="dxa"/>
          </w:tcPr>
          <w:p>
            <w:r>
              <w:t xml:space="preserve">How many studies or series a retrieve fetches at once, each on its own connection (association) to the server: 1 (the default) to 4. A retrieve of several studies or series is then shared across that many connections, which can shorten it considerably when the server answers each request slowly. More than one helps only if the server allows several connections from this application's AE Title at the same time. DICOM gives no way to ask a server its limit, so the setting is yours to raise — use Test (Section 4.4) first. If the server refuses an extra connection, or one of them fails or stops responding, the retrieve carries on one at a time: the affected studies or series are fetched again, nothing is lost, and the completion status says so. Some servers accept several connections but still send C-MOVE deliveries one at a time, in which case a higher setting does no harm but gains nothing. The same setting applies when pushing files to this server (Section 8.5): a push is then sent over that many connections at once, with the same fallback to one.</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r>
        <w:t xml:space="preserve">Choosing a different server in the dropdown ends the session with the current one: if connected (or still connecting), dicomqr disconnects — cancelling any query or retrieve in progress — and the Query Results tree is cleared, so studies found on one server are never offered for retrieve from another, where they may not exist. Click Connect to connect to the newly chosen server, then search again. If a retrieve is in progress, nothing happens until you confirm: a dialog asks whether to cancel the retrieve and switch, and answering No puts the dropdown back and lets the retrieve carry on. Files a cancelled retrieve has already received are kept.</w:t>
      </w:r>
    </w:p>
    <w:p>
      <w:pPr>
        <w:pStyle w:val="Heading2"/>
      </w:pPr>
      <w:r>
        <w:t>4.4  Testing Connectivity</w:t>
      </w:r>
    </w:p>
    <w:p>
      <w:r>
        <w:t xml:space="preserve">Click Test (C-ECHO) at any time while connected to send a C-ECHO to the PACS. The status bar reports success or failure.</w:t>
      </w:r>
    </w:p>
    <w:p>
      <w:r>
        <w:t xml:space="preserve">To find out whether a server accepts several connections at once before raising a profile's Parallel transfers, open the profile in File &gt; Preferences… &gt; SCP &amp; Network, enter the number in Parallel transfers and click the Test button beside it. It opens that many connections together, sends a C-ECHO on each, and closes them only once all have answered, then lists each one: OK, refused (with the server's reason, such as "local limit exceeded"), or failed. Connecting first is not needed. A clean result shows the server accepts that many connections; it cannot show that a retrieve will get faster, since some servers send C-MOVE deliveries one at a time regardless.</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Connect, Search, Clear, and Close buttons. Click Filters ▾ again, or click Close inside the panel, to dismiss it. Values typed in the fields are preserved between open and close cycles.</w:t>
      </w:r>
    </w:p>
    <w:p>
      <w:r>
        <w:t xml:space="preserve">Search is available only once you are connected. If you opened the panel before connecting, click Connect inside the panel: it connects to the server selected in the server row, exactly as the Connect button there does, and the panel stays open so you can carry on and search. Like the server row's Connect, it is unavailable while a connection is in progress or already established.</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A search cannot hang. Connecting gives up after the profile's Connect timeout, and once connected the search fails if the server sends nothing for 60 seconds; every match that arrives restarts the clock, so a long list that keeps coming is never cut off. If the server stops part-way, the studies already received are kept and the status bar says the list is incomplete and why, rather than reporting it as complete. The same limits apply when a study's series are listed and to worklist queries.</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the set of modalities present in the study, and — when the PACS reports them — the study's size, e.g. "(3 series, 412 images)", so you can judge a retrieve before starting it. The counts are requested with every search (Number of Study Related Series and Instances); a PACS that does not supply them simply leaves them off.</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 If that query fails — the server refuses it or the connection drops — the status bar says so and the study is not marked as loaded: collapse and expand it again to retry.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The thumbnails fill in once the first image is on screen, so they never hold it up.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Right-click a node and choose Open in Viewer to open the node's folder in the configured external DICOM viewer. The item is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opens its own connections and does not require the PACS tab to be connected. Cancel works throughout the push: it stops at once, and the dialog then says how many files were sent and how many were not. When every file has been sent, the dialog closes by itself and the Local Browse status line reports how many went to which server; if any file failed, the push was cancelled, or nothing was sent, it stays open with the counts and a Close button.</w:t>
      </w:r>
    </w:p>
    <w:p>
      <w:r>
        <w:t xml:space="preserve">When the destination's profile has Parallel transfers above 1 (Section 4.1), the files are sent over that many connections at once, which can shorten a push considerably when the server takes a moment to store each file. Files of one series are kept on one connection where possible, and a large series is shared out so it does not run on alone. If the server refuses an extra connection, or one fails or stops responding, the push carries on one connection at a time: the files that connection had not yet sent go again, files already stored are not sent twice, and the dialog stays open to say so — the hint to lower that server's Parallel transfers. A file the server refuses on its own account is counted as failed and never causes this fallback.</w:t>
      </w:r>
    </w:p>
    <w:p>
      <w:r>
        <w:t xml:space="preserve">A server that stops answering no longer holds a push forever: when a file has been waiting on the server with nothing moving on the connection for the Retrieve stall timeout (Preferences &gt; SCP &amp; Network, 120 seconds by default), that connection is abandoned and its unsent files reported as failed. A large file on a slow link is not affected, since its data is still moving.</w:t>
      </w:r>
    </w:p>
    <w:p>
      <w:r>
        <w:t xml:space="preserve">Files are sent exactly as stored. The push reads each file's SOP class and transfer syntax first and offers the server exactly those, so any kind of DICOM object can be pushed: images, dose reports, structured reports, a vendor's private objects. When the server accepts a file's own transfer syntax, the stored bytes go out verbatim — no re-encoding, byte-perfect, including compressed files such as JPEG 2000. If the server accepts the file's SOP class only in an uncompressed syntax, the file is converted locally to it (on a temporary copy — the local file is never modified) and sent in that form. Compressed data is never sent under an uncompressed label. Converting is the slow part of such a push — a server that does not accept JPEG 2000 makes every file of a JPEG 2000 study go through it — so each file is converted while the previous one is being sent, and with Parallel transfers above 1, several are converted at once: one per connection, up to half the computer's processors, at low priority so the rest of the computer stays responsive.</w:t>
      </w:r>
    </w:p>
    <w:p>
      <w:r>
        <w:t xml:space="preserve">A file is skipped and counted as failed when the server does not accept its SOP class at all, or accepts it only in a compressed syntax other than the file's own (a file can be converted to an uncompressed syntax, never into a different compression), or when its conversion fails.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and, when a Tag Profile lists the tag, the profile's name: the one whose colour the row shows, then any other profile that also lists it under Also in.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While it runs, Cancel stops it. Click Clear to reset all fields and clear the results. A worklist server that does not answer is given up on after the profile's Connect timeout (to connect) or 60 seconds without a response, and the status label says so — Query Worklist is never left disabled.</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 — and, if the server stopped part-way, the items received with a note that the list is incomplete.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following the newest lines while you are at the bottom of the list. Scroll up to read earlier lines and the view holds still — a note beside the buttons says it is paused — until you scroll back to the bottom, when it catches up; Refresh, Clear, or changing the level or filter also brings it back to the newest line.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A push uses the same limit: a connection on which nothing moves for this long while a file waits on the server is abandoned.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profile opens in its own window, which can be moved and resized; Save keeps the changes and Cancel discards them, and Preferences waits behind it until it closes.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r>
        <w:tc>
          <w:tcPr>
            <w:tcW w:w="2700" w:type="dxa"/>
          </w:tcPr>
          <w:p>
            <w:r>
              <w:t xml:space="preserve">Parallel transfers</w:t>
            </w:r>
          </w:p>
        </w:tc>
        <w:tc>
          <w:tcPr>
            <w:tcW w:w="6300" w:type="dxa"/>
          </w:tcPr>
          <w:p>
            <w:r>
              <w:t xml:space="preserve">How many connections to open to this server at once, 1–4 (blank = 1) — for a retrieve, how many studies or series it fetches together; for a push, how many connections the files are sent over. Test beside it opens that many connections together and reports which the server accepted — see Sections 4.1 and 4.4.</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the modalities it applies to, and a tag list (one GGGG,EEEE per line in the editor). Modalities takes modality codes as files state them — CT, MR, NM, PT (not PET), US — separated by commas or spaces; a profile with codes there colours only files of those modalities, and one left empty colours every file. The Preferences list shows a restricted profile as, for example, "CT files only". Edit and Add profile… open the editor in its own window; a tag line that does not parse is reported without closing it, so nothing typed is lost. The first enabled profile containing a tag determines its colour; the malformed-tag highlight always takes precedence. Six profiles are supplied. PHI (orange) covers every attribute the DICOM standard's basic de-identification profile (PS3.15) acts on — names, identifiers, dates, institutions, free text, UIDs — plus overlay data, annotation text, the free-text fields the PHI check looks for, and Burned In Annotation, which says the pixels themselves may carry identity; private tags cannot be listed and are not covered. NM, PET, CT, MR and US each list the attributes of that modality's own image modules in the standard, leaving out those every image shares (patient, study, series, pixel format), so a highlighted row is one that belongs to the modality, and each applies only to files of its own modality. Some attributes belong to several modalities — the radiopharmaceutical fields to NM and PET, cardiac gating to MR, NM, PET and US, table height and convolution kernel to CT, NM and PET — and in each file they take that file's modality's colour. PHI applies to every file, and as the first profile it colours a tag it shares with a modality profile. PET also keeps the general fields its standardised uptake value is computed from (patient weight and size, acquisition time). A settings.json written by an earlier version keeps its own profiles.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Graphic annotations, Mark as de-identified, and Ignore SOP classes — are ignored by dicomtool, and dicomtool's maskrows parameter is not supported by dicomqr). The list shows each profile with its set/remove counts and per-modality override count. The Up/Down buttons reorder it, and the Modification submenu and the Modify Selected… menu list the profiles in the same order, so the ones used most can sit at the top; until the list is reordered it stays alphabetical. A new profile joins the end of the list, and a copy is placed just below the profile it was copied from. Edit opens the profile editor on that profile; Copy opens it on a new profile holding every one of that profile's settings, under a name such as "base-deident copy" — this is how a profile is built from another one; Add profile… starts an empty one.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Every profile holds all of its own settings — nothing is inherited from another profile — so the editor shows exactly what a run will do, and a copy is independent of the profile it was made from: changing one never changes the other. Earlier versions let a profile name a base profile and add to it, which hid the base's settings from the editor and could never switch off anything the base switched on. Such profiles are converted automatically the first time this version starts, to the combined settings they have always run with, so no run changes; the original file is kept beside the new one as profiles-with-base-&lt;date-time&gt;.json, and the Activity Log names the profiles converted. A profile whose base no longer exists cannot be converted, because what it inherited is unknown: it is listed as needing review, refuses to run, and opens with a warning, and saving it after checking every setting makes it self-contained.</w:t>
      </w:r>
    </w:p>
    <w:p>
      <w:r>
        <w:t xml:space="preserve">The profile editor opens as its own window, so it can be moved aside and resized — useful when working through a long removal list. Preferences waits behind it, dimmed, until it closes,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w:t>
            </w:r>
          </w:p>
        </w:tc>
      </w:tr>
      <w:tr>
        <w:tc>
          <w:tcPr>
            <w:tcW w:w="2700" w:type="dxa"/>
            <w:shd w:val="clear" w:color="auto" w:fill="F5F5F5"/>
          </w:tcPr>
          <w:p>
            <w:r>
              <w:t xml:space="preserve">Set values</w:t>
            </w:r>
          </w:p>
        </w:tc>
        <w:tc>
          <w:tcPr>
            <w:tcW w:w="6300" w:type="dxa"/>
            <w:shd w:val="clear" w:color="auto" w:fill="F5F5F5"/>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tcPr>
          <w:p>
            <w:r>
              <w:t xml:space="preserve">Remove tags</w:t>
            </w:r>
          </w:p>
        </w:tc>
        <w:tc>
          <w:tcPr>
            <w:tcW w:w="6300" w:type="dxa"/>
          </w:tcPr>
          <w:p>
            <w:r>
              <w:t xml:space="preserve">Tags deleted from every file — one per line, each shown with its name (0008,0080  Institution Name). Choose… opens the tag picker (see below) instead of typing tag numbers.</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Graphic annotations</w:t>
            </w:r>
          </w:p>
        </w:tc>
        <w:tc>
          <w:tcPr>
            <w:tcW w:w="6300" w:type="dxa"/>
            <w:shd w:val="clear" w:color="auto" w:fill="F5F5F5"/>
          </w:tcPr>
          <w:p>
            <w:r>
              <w:t xml:space="preserve">What an export keeps of the arrows, lines, outlines, measurements and text boxes a reviewer drew over an image. DICOM does not store these in the image: they are drawing instructions in a presentation state, a separate object (modality PR) that points at the images and tells a viewer what to draw over them. Keep, the default, exports them as they are, and the profile's Remove tags still apply to them. Keep shapes, remove text keeps every shape and removes every piece of text — the text boxes, and the descriptions of drawing layers and groups; a group's required name becomes GROUP and its number. A shape is only coordinates and identifies no one, while text is whatever the reviewer typed. The cost is that a measurement's number goes with its label, although the line it measured stays. An annotation that was only text is removed entirely. Remove takes out every annotation. None of the three changes what the presentation state says about display (window and level, zoom, rotation, shutters), or its identification such as its creator and creation date, which Remove tags governs. A note beneath the options appears when another setting undoes this one: Remove tags listing an annotation tag the choice keeps — a profile written before this setting existed removed annotations that way — or Ignore modalities skipping PR, which leaves no presentation state in the export at all. Remove in the shipped profiles, which also skip PR.</w:t>
            </w:r>
          </w:p>
        </w:tc>
      </w:tr>
      <w:tr>
        <w:tc>
          <w:tcPr>
            <w:tcW w:w="2700" w:type="dxa"/>
          </w:tcPr>
          <w:p>
            <w:r>
              <w:t xml:space="preserve">Shift dates (days)</w:t>
            </w:r>
          </w:p>
        </w:tc>
        <w:tc>
          <w:tcPr>
            <w:tcW w:w="6300" w:type="dxa"/>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shd w:val="clear" w:color="auto" w:fill="F5F5F5"/>
          </w:tcPr>
          <w:p>
            <w:r>
              <w:t xml:space="preserve">Fix VR</w:t>
            </w:r>
          </w:p>
        </w:tc>
        <w:tc>
          <w:tcPr>
            <w:tcW w:w="6300" w:type="dxa"/>
            <w:shd w:val="clear" w:color="auto" w:fill="F5F5F5"/>
          </w:tcPr>
          <w:p>
            <w:r>
              <w:t xml:space="preserve">Handling of value-representation violations: (off), correct, skip, or passthrough.</w:t>
            </w:r>
          </w:p>
        </w:tc>
      </w:tr>
      <w:tr>
        <w:tc>
          <w:tcPr>
            <w:tcW w:w="2700" w:type="dxa"/>
          </w:tcPr>
          <w:p>
            <w:r>
              <w:t xml:space="preserve">Output transfer syntax</w:t>
            </w:r>
          </w:p>
        </w:tc>
        <w:tc>
          <w:tcPr>
            <w:tcW w:w="6300" w:type="dxa"/>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shd w:val="clear" w:color="auto" w:fill="F5F5F5"/>
          </w:tcPr>
          <w:p>
            <w:r>
              <w:t xml:space="preserve">Mark as de-identified</w:t>
            </w:r>
          </w:p>
        </w:tc>
        <w:tc>
          <w:tcPr>
            <w:tcW w:w="6300" w:type="dxa"/>
            <w:shd w:val="clear" w:color="auto" w:fill="F5F5F5"/>
          </w:tcPr>
          <w:p>
            <w:r>
              <w:t xml:space="preserve">Record in every exported file that it has been de-identified, as the DICOM standard (PS3.15) expects: Patient Identity Removed (0012,0062) is set to YES, and De-identification Method (0012,0063) names the application, its version and the profile (for example "dicomqr 1.26.0 profile base-deident"). A file already de-identified once before keeps the method recorded then, with this run's added after it. When the run shifts dates by a non-zero number of days, Longitudinal Temporal Information Modified (0028,0303) is also set to MODIFIED, so a downstream system knows the dates are not the originals. If the profile's own Set values write any of these tags, the profile's value is kept. The option only labels the export: it removes nothing by itself, and a profile with nothing else to do is still refused. On in the shipped base-deident profile.</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Ignore SOP classes</w:t>
            </w:r>
          </w:p>
        </w:tc>
        <w:tc>
          <w:tcPr>
            <w:tcW w:w="6300" w:type="dxa"/>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editor — a window of its own, in front of the profile editor, which waits until it closes — offers the modality code, the set/remove/keep tag lists, Keep private tags, and Ignore SOP classes; on a file whose Modality matches, these layer on top of the profile. Keep tags exempts that modality from the profile's own Remove tags — the one place a Keep list exists, since in the profile itself a tag to keep is simply left out of Remove tags.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graphic annotations, fix VR, output transfer syntax) is a profile-wide decision and is set once in the main editor.</w:t>
      </w:r>
    </w:p>
    <w:p>
      <w:r>
        <w:t xml:space="preserve">Tag picker — the Choose… button beside Remove tags (and an override's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Tags are compared as tags rather than as text, so how one was typed never changes what a profile does — an override's Keep tags cancel the profile's Remove tags however each was written.</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report text, and the text of graphic annotations)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 and so does one inside a sequence the profile removes, since removing a sequence removes everything in it. Annotation text counts as dealt with when Graphic annotations is set to anything but Keep.</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except annotation text, for which it sets Graphic annotations to Keep shapes, remove text (removing the text alone would leave each text box without the value the standard requires of it);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The run shows its progress in a window of its own, which can be moved out of the way while the main window waits. Cancel stops the run once the files in flight are finished; closing the window during a run asks first, then cancels and keeps the window open to show what was written. A run that ends with nothing to review closes its window by itself, and the Local Browse status line shows the summary: how many files were written, where, and how many the profile's filters skipped. Any run with something worth reading keeps the window open, showing the summary with a Close button: a cancelled run, one that wrote nothing, files re-encoded or decompressed so they could be masked, ultrasound files masked with the profile's rectangles, a birth date left inside a sequence, PHI check findings, or a DICOMDIR that could not be written.</w:t>
      </w:r>
    </w:p>
    <w:p>
      <w:r>
        <w:t xml:space="preserve">If any file fails during a run, the progress window is replaced by a list of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v1.26.0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cut short (some studies received)</w:t>
            </w:r>
          </w:p>
        </w:tc>
        <w:tc>
          <w:tcPr>
            <w:tcW w:w="6300" w:type="dxa"/>
            <w:shd w:val="clear" w:color="auto" w:fill="F5F5F5"/>
          </w:tcPr>
          <w:p>
            <w:r>
              <w:rPr>
                <w:rFonts w:ascii="Courier New" w:hAnsi="Courier New"/>
                <w:sz w:val="18"/>
                <w:szCs w:val="18"/>
                <w:shd w:val="clear" w:color="auto" w:fill="EBEBEB"/>
              </w:rPr>
              <w:t xml:space="preserve">Query incomplete — &lt;N&gt; studies, then: &lt;reason&gt;</w:t>
            </w:r>
          </w:p>
        </w:tc>
      </w:tr>
      <w:tr>
        <w:tc>
          <w:tcPr>
            <w:tcW w:w="2700" w:type="dxa"/>
          </w:tcPr>
          <w:p>
            <w:r>
              <w:t xml:space="preserve">Query error</w:t>
            </w:r>
          </w:p>
        </w:tc>
        <w:tc>
          <w:tcPr>
            <w:tcW w:w="6300" w:type="dxa"/>
          </w:tcPr>
          <w:p>
            <w:r>
              <w:rPr>
                <w:rFonts w:ascii="Courier New" w:hAnsi="Courier New"/>
                <w:sz w:val="18"/>
                <w:szCs w:val="18"/>
                <w:shd w:val="clear" w:color="auto" w:fill="EBEBEB"/>
              </w:rPr>
              <w:t xml:space="preserve">Query error: &lt;reason&gt;</w:t>
            </w:r>
          </w:p>
        </w:tc>
      </w:tr>
      <w:tr>
        <w:tc>
          <w:tcPr>
            <w:tcW w:w="2700" w:type="dxa"/>
            <w:shd w:val="clear" w:color="auto" w:fill="F5F5F5"/>
          </w:tcPr>
          <w:p>
            <w:r>
              <w:t xml:space="preserve">Retrieve starting</w:t>
            </w:r>
          </w:p>
        </w:tc>
        <w:tc>
          <w:tcPr>
            <w:tcW w:w="6300" w:type="dxa"/>
            <w:shd w:val="clear" w:color="auto" w:fill="F5F5F5"/>
          </w:tcPr>
          <w:p>
            <w:r>
              <w:rPr>
                <w:rFonts w:ascii="Courier New" w:hAnsi="Courier New"/>
                <w:sz w:val="18"/>
                <w:szCs w:val="18"/>
                <w:shd w:val="clear" w:color="auto" w:fill="EBEBEB"/>
              </w:rPr>
              <w:t xml:space="preserve">Starting retrieve of &lt;N&gt; studies…</w:t>
            </w:r>
          </w:p>
        </w:tc>
      </w:tr>
      <w:tr>
        <w:tc>
          <w:tcPr>
            <w:tcW w:w="2700" w:type="dxa"/>
          </w:tcPr>
          <w:p>
            <w:r>
              <w:t xml:space="preserve">Retrieve in progress</w:t>
            </w:r>
          </w:p>
        </w:tc>
        <w:tc>
          <w:tcPr>
            <w:tcW w:w="6300" w:type="dxa"/>
          </w:tcPr>
          <w:p>
            <w:r>
              <w:rPr>
                <w:rFonts w:ascii="Courier New" w:hAnsi="Courier New"/>
                <w:sz w:val="18"/>
                <w:szCs w:val="18"/>
                <w:shd w:val="clear" w:color="auto" w:fill="EBEBEB"/>
              </w:rPr>
              <w:t xml:space="preserve">Retrieving study &lt;N&gt;/&lt;total&gt;…</w:t>
            </w:r>
          </w:p>
        </w:tc>
      </w:tr>
      <w:tr>
        <w:tc>
          <w:tcPr>
            <w:tcW w:w="2700" w:type="dxa"/>
            <w:shd w:val="clear" w:color="auto" w:fill="F5F5F5"/>
          </w:tcPr>
          <w:p>
            <w:r>
              <w:t xml:space="preserve">File received</w:t>
            </w:r>
          </w:p>
        </w:tc>
        <w:tc>
          <w:tcPr>
            <w:tcW w:w="6300" w:type="dxa"/>
            <w:shd w:val="clear" w:color="auto" w:fill="F5F5F5"/>
          </w:tcPr>
          <w:p>
            <w:r>
              <w:rPr>
                <w:rFonts w:ascii="Courier New" w:hAnsi="Courier New"/>
                <w:sz w:val="18"/>
                <w:szCs w:val="18"/>
                <w:shd w:val="clear" w:color="auto" w:fill="EBEBEB"/>
              </w:rPr>
              <w:t xml:space="preserve">Received: &lt;file path&gt;</w:t>
            </w:r>
          </w:p>
        </w:tc>
      </w:tr>
      <w:tr>
        <w:tc>
          <w:tcPr>
            <w:tcW w:w="2700" w:type="dxa"/>
          </w:tcPr>
          <w:p>
            <w:r>
              <w:t xml:space="preserve">Retrieve complete</w:t>
            </w:r>
          </w:p>
        </w:tc>
        <w:tc>
          <w:tcPr>
            <w:tcW w:w="6300" w:type="dxa"/>
          </w:tcPr>
          <w:p>
            <w:r>
              <w:rPr>
                <w:rFonts w:ascii="Courier New" w:hAnsi="Courier New"/>
                <w:sz w:val="18"/>
                <w:szCs w:val="18"/>
                <w:shd w:val="clear" w:color="auto" w:fill="EBEBEB"/>
              </w:rPr>
              <w:t xml:space="preserve">Retrieved &lt;N&gt; files successfully</w:t>
            </w:r>
          </w:p>
        </w:tc>
      </w:tr>
      <w:tr>
        <w:tc>
          <w:tcPr>
            <w:tcW w:w="2700" w:type="dxa"/>
            <w:shd w:val="clear" w:color="auto" w:fill="F5F5F5"/>
          </w:tcPr>
          <w:p>
            <w:r>
              <w:t xml:space="preserve">Retrieve complete, objects skipped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tcPr>
          <w:p>
            <w:r>
              <w:t xml:space="preserve">Retrieve complete, objects undeliverable (required syntax)</w:t>
            </w:r>
          </w:p>
        </w:tc>
        <w:tc>
          <w:tcPr>
            <w:tcW w:w="6300" w:type="dxa"/>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shd w:val="clear" w:color="auto" w:fill="F5F5F5"/>
          </w:tcPr>
          <w:p>
            <w:r>
              <w:t xml:space="preserve">Finishing conversions (required syntax)</w:t>
            </w:r>
          </w:p>
        </w:tc>
        <w:tc>
          <w:tcPr>
            <w:tcW w:w="6300" w:type="dxa"/>
            <w:shd w:val="clear" w:color="auto" w:fill="F5F5F5"/>
          </w:tcPr>
          <w:p>
            <w:r>
              <w:rPr>
                <w:rFonts w:ascii="Courier New" w:hAnsi="Courier New"/>
                <w:sz w:val="18"/>
                <w:szCs w:val="18"/>
                <w:shd w:val="clear" w:color="auto" w:fill="EBEBEB"/>
              </w:rPr>
              <w:t xml:space="preserve">Converting &lt;N&gt; received file(s) to &lt;syntax&gt;…</w:t>
            </w:r>
          </w:p>
        </w:tc>
      </w:tr>
      <w:tr>
        <w:tc>
          <w:tcPr>
            <w:tcW w:w="2700" w:type="dxa"/>
          </w:tcPr>
          <w:p>
            <w:r>
              <w:t xml:space="preserve">Retrieve complete, converted files not saved (required syntax)</w:t>
            </w:r>
          </w:p>
        </w:tc>
        <w:tc>
          <w:tcPr>
            <w:tcW w:w="6300" w:type="dxa"/>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shd w:val="clear" w:color="auto" w:fill="F5F5F5"/>
          </w:tcPr>
          <w:p>
            <w:r>
              <w:t xml:space="preserve">Retrieve failed — nothing deliverable in the required syntax</w:t>
            </w:r>
          </w:p>
        </w:tc>
        <w:tc>
          <w:tcPr>
            <w:tcW w:w="6300" w:type="dxa"/>
            <w:shd w:val="clear" w:color="auto" w:fill="F5F5F5"/>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tcPr>
          <w:p>
            <w:r>
              <w:t xml:space="preserve">Retrieve complete with warnings</w:t>
            </w:r>
          </w:p>
        </w:tc>
        <w:tc>
          <w:tcPr>
            <w:tcW w:w="6300" w:type="dxa"/>
          </w:tcPr>
          <w:p>
            <w:r>
              <w:rPr>
                <w:rFonts w:ascii="Courier New" w:hAnsi="Courier New"/>
                <w:sz w:val="18"/>
                <w:szCs w:val="18"/>
                <w:shd w:val="clear" w:color="auto" w:fill="EBEBEB"/>
              </w:rPr>
              <w:t xml:space="preserve">Retrieved &lt;N&gt; files (&lt;X&gt;/&lt;total&gt; targets had errors — see log)</w:t>
            </w:r>
          </w:p>
        </w:tc>
      </w:tr>
      <w:tr>
        <w:tc>
          <w:tcPr>
            <w:tcW w:w="2700" w:type="dxa"/>
            <w:shd w:val="clear" w:color="auto" w:fill="F5F5F5"/>
          </w:tcPr>
          <w:p>
            <w:r>
              <w:t xml:space="preserve">Retrieve cancelled</w:t>
            </w:r>
          </w:p>
        </w:tc>
        <w:tc>
          <w:tcPr>
            <w:tcW w:w="6300" w:type="dxa"/>
            <w:shd w:val="clear" w:color="auto" w:fill="F5F5F5"/>
          </w:tcPr>
          <w:p>
            <w:r>
              <w:rPr>
                <w:rFonts w:ascii="Courier New" w:hAnsi="Courier New"/>
                <w:sz w:val="18"/>
                <w:szCs w:val="18"/>
                <w:shd w:val="clear" w:color="auto" w:fill="EBEBEB"/>
              </w:rPr>
              <w:t xml:space="preserve">Retrieve cancelled</w:t>
            </w:r>
          </w:p>
        </w:tc>
      </w:tr>
      <w:tr>
        <w:tc>
          <w:tcPr>
            <w:tcW w:w="2700" w:type="dxa"/>
          </w:tcPr>
          <w:p>
            <w:r>
              <w:t xml:space="preserve">C-ECHO test passed</w:t>
            </w:r>
          </w:p>
        </w:tc>
        <w:tc>
          <w:tcPr>
            <w:tcW w:w="6300" w:type="dxa"/>
          </w:tcPr>
          <w:p>
            <w:r>
              <w:rPr>
                <w:rFonts w:ascii="Courier New" w:hAnsi="Courier New"/>
                <w:sz w:val="18"/>
                <w:szCs w:val="18"/>
                <w:shd w:val="clear" w:color="auto" w:fill="EBEBEB"/>
              </w:rPr>
              <w:t xml:space="preserve">C-ECHO success</w:t>
            </w:r>
          </w:p>
        </w:tc>
      </w:tr>
      <w:tr>
        <w:tc>
          <w:tcPr>
            <w:tcW w:w="2700" w:type="dxa"/>
            <w:shd w:val="clear" w:color="auto" w:fill="F5F5F5"/>
          </w:tcPr>
          <w:p>
            <w:r>
              <w:t xml:space="preserve">C-ECHO test failed</w:t>
            </w:r>
          </w:p>
        </w:tc>
        <w:tc>
          <w:tcPr>
            <w:tcW w:w="6300" w:type="dxa"/>
            <w:shd w:val="clear" w:color="auto" w:fill="F5F5F5"/>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modProfileOrder</w:t>
            </w:r>
          </w:p>
        </w:tc>
        <w:tc>
          <w:tcPr>
            <w:tcW w:w="1600" w:type="dxa"/>
          </w:tcPr>
          <w:p>
            <w:r>
              <w:t xml:space="preserve">absent</w:t>
            </w:r>
          </w:p>
        </w:tc>
        <w:tc>
          <w:tcPr>
            <w:tcW w:w="5200" w:type="dxa"/>
          </w:tcPr>
          <w:p>
            <w:r>
              <w:t xml:space="preserve">The order of the modification profiles, by name, as set with the Up/Down buttons in Preferences. Absent = alphabetical. A profile it does not name is listed after the ones it does.</w:t>
            </w:r>
          </w:p>
        </w:tc>
      </w:tr>
      <w:tr>
        <w:tc>
          <w:tcPr>
            <w:tcW w:w="2200" w:type="dxa"/>
            <w:shd w:val="clear" w:color="auto" w:fill="F5F5F5"/>
          </w:tcPr>
          <w:p>
            <w:r>
              <w:rPr>
                <w:rFonts w:ascii="Courier New" w:hAnsi="Courier New"/>
                <w:sz w:val="18"/>
                <w:szCs w:val="18"/>
                <w:shd w:val="clear" w:color="auto" w:fill="EBEBEB"/>
              </w:rPr>
              <w:t xml:space="preserve">exportFormat</w:t>
            </w:r>
          </w:p>
        </w:tc>
        <w:tc>
          <w:tcPr>
            <w:tcW w:w="1600" w:type="dxa"/>
            <w:shd w:val="clear" w:color="auto" w:fill="F5F5F5"/>
          </w:tcPr>
          <w:p>
            <w:r>
              <w:rPr>
                <w:rFonts w:ascii="Courier New" w:hAnsi="Courier New"/>
                <w:sz w:val="18"/>
                <w:szCs w:val="18"/>
                <w:shd w:val="clear" w:color="auto" w:fill="EBEBEB"/>
              </w:rPr>
              <w:t xml:space="preserve">"csv"</w:t>
            </w:r>
          </w:p>
        </w:tc>
        <w:tc>
          <w:tcPr>
            <w:tcW w:w="5200" w:type="dxa"/>
            <w:shd w:val="clear" w:color="auto" w:fill="F5F5F5"/>
          </w:tcPr>
          <w:p>
            <w:r>
              <w:t xml:space="preserve">File type listed first in the View Tags Export Tags… save dialog ("csv" or "json"); also the format applied when the typed filename has no extension.</w:t>
            </w:r>
          </w:p>
        </w:tc>
      </w:tr>
      <w:tr>
        <w:tc>
          <w:tcPr>
            <w:tcW w:w="2200" w:type="dxa"/>
          </w:tcPr>
          <w:p>
            <w:r>
              <w:rPr>
                <w:rFonts w:ascii="Courier New" w:hAnsi="Courier New"/>
                <w:sz w:val="18"/>
                <w:szCs w:val="18"/>
                <w:shd w:val="clear" w:color="auto" w:fill="EBEBEB"/>
              </w:rPr>
              <w:t xml:space="preserve">viewerPath</w:t>
            </w:r>
          </w:p>
        </w:tc>
        <w:tc>
          <w:tcPr>
            <w:tcW w:w="1600" w:type="dxa"/>
          </w:tcPr>
          <w:p>
            <w:r>
              <w:rPr>
                <w:rFonts w:ascii="Courier New" w:hAnsi="Courier New"/>
                <w:sz w:val="18"/>
                <w:szCs w:val="18"/>
                <w:shd w:val="clear" w:color="auto" w:fill="EBEBEB"/>
              </w:rPr>
              <w:t xml:space="preserve">""</w:t>
            </w:r>
          </w:p>
        </w:tc>
        <w:tc>
          <w:tcPr>
            <w:tcW w:w="5200" w:type="dxa"/>
          </w:tcPr>
          <w:p>
            <w:r>
              <w:t xml:space="preserve">Full path to an external DICOM viewer executable. Empty disables the Open in Viewer controls.</w:t>
            </w:r>
          </w:p>
        </w:tc>
      </w:tr>
      <w:tr>
        <w:tc>
          <w:tcPr>
            <w:tcW w:w="2200" w:type="dxa"/>
            <w:shd w:val="clear" w:color="auto" w:fill="F5F5F5"/>
          </w:tcPr>
          <w:p>
            <w:r>
              <w:rPr>
                <w:rFonts w:ascii="Courier New" w:hAnsi="Courier New"/>
                <w:sz w:val="18"/>
                <w:szCs w:val="18"/>
                <w:shd w:val="clear" w:color="auto" w:fill="EBEBEB"/>
              </w:rPr>
              <w:t xml:space="preserve">selectionColor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Colour applied to selected tree rows (RRGGBBAA hex). Empty follows the theme primary colour.</w:t>
            </w:r>
          </w:p>
        </w:tc>
      </w:tr>
      <w:tr>
        <w:tc>
          <w:tcPr>
            <w:tcW w:w="2200" w:type="dxa"/>
          </w:tcPr>
          <w:p>
            <w:r>
              <w:rPr>
                <w:rFonts w:ascii="Courier New" w:hAnsi="Courier New"/>
                <w:sz w:val="18"/>
                <w:szCs w:val="18"/>
                <w:shd w:val="clear" w:color="auto" w:fill="EBEBEB"/>
              </w:rPr>
              <w:t xml:space="preserve">selectionBold</w:t>
            </w:r>
          </w:p>
        </w:tc>
        <w:tc>
          <w:tcPr>
            <w:tcW w:w="1600" w:type="dxa"/>
          </w:tcPr>
          <w:p>
            <w:r>
              <w:rPr>
                <w:rFonts w:ascii="Courier New" w:hAnsi="Courier New"/>
                <w:sz w:val="18"/>
                <w:szCs w:val="18"/>
                <w:shd w:val="clear" w:color="auto" w:fill="EBEBEB"/>
              </w:rPr>
              <w:t xml:space="preserve">true</w:t>
            </w:r>
          </w:p>
        </w:tc>
        <w:tc>
          <w:tcPr>
            <w:tcW w:w="5200" w:type="dxa"/>
          </w:tcPr>
          <w:p>
            <w:r>
              <w:t xml:space="preserve">Whether selected rows are drawn in bold.</w:t>
            </w:r>
          </w:p>
        </w:tc>
      </w:tr>
      <w:tr>
        <w:tc>
          <w:tcPr>
            <w:tcW w:w="2200" w:type="dxa"/>
            <w:shd w:val="clear" w:color="auto" w:fill="F5F5F5"/>
          </w:tcPr>
          <w:p>
            <w:r>
              <w:rPr>
                <w:rFonts w:ascii="Courier New" w:hAnsi="Courier New"/>
                <w:sz w:val="18"/>
                <w:szCs w:val="18"/>
                <w:shd w:val="clear" w:color="auto" w:fill="EBEBEB"/>
              </w:rPr>
              <w:t xml:space="preserve">selectionItalic</w:t>
            </w:r>
          </w:p>
        </w:tc>
        <w:tc>
          <w:tcPr>
            <w:tcW w:w="1600" w:type="dxa"/>
            <w:shd w:val="clear" w:color="auto" w:fill="F5F5F5"/>
          </w:tcPr>
          <w:p>
            <w:r>
              <w:rPr>
                <w:rFonts w:ascii="Courier New" w:hAnsi="Courier New"/>
                <w:sz w:val="18"/>
                <w:szCs w:val="18"/>
                <w:shd w:val="clear" w:color="auto" w:fill="EBEBEB"/>
              </w:rPr>
              <w:t xml:space="preserve">false</w:t>
            </w:r>
          </w:p>
        </w:tc>
        <w:tc>
          <w:tcPr>
            <w:tcW w:w="5200" w:type="dxa"/>
            <w:shd w:val="clear" w:color="auto" w:fill="F5F5F5"/>
          </w:tcPr>
          <w:p>
            <w:r>
              <w:t xml:space="preserve">Whether selected rows are drawn in italic.</w:t>
            </w:r>
          </w:p>
        </w:tc>
      </w:tr>
      <w:tr>
        <w:tc>
          <w:tcPr>
            <w:tcW w:w="2200" w:type="dxa"/>
          </w:tcPr>
          <w:p>
            <w:r>
              <w:rPr>
                <w:rFonts w:ascii="Courier New" w:hAnsi="Courier New"/>
                <w:sz w:val="18"/>
                <w:szCs w:val="18"/>
                <w:shd w:val="clear" w:color="auto" w:fill="EBEBEB"/>
              </w:rPr>
              <w:t xml:space="preserve">windowWidth</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width in pixels. 0 uses the default; updated automatically on close.</w:t>
            </w:r>
          </w:p>
        </w:tc>
      </w:tr>
      <w:tr>
        <w:tc>
          <w:tcPr>
            <w:tcW w:w="2200" w:type="dxa"/>
            <w:shd w:val="clear" w:color="auto" w:fill="F5F5F5"/>
          </w:tcPr>
          <w:p>
            <w:r>
              <w:rPr>
                <w:rFonts w:ascii="Courier New" w:hAnsi="Courier New"/>
                <w:sz w:val="18"/>
                <w:szCs w:val="18"/>
                <w:shd w:val="clear" w:color="auto" w:fill="EBEBEB"/>
              </w:rPr>
              <w:t xml:space="preserve">windowHeight</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height in pixels.</w:t>
            </w:r>
          </w:p>
        </w:tc>
      </w:tr>
      <w:tr>
        <w:tc>
          <w:tcPr>
            <w:tcW w:w="2200" w:type="dxa"/>
          </w:tcPr>
          <w:p>
            <w:r>
              <w:rPr>
                <w:rFonts w:ascii="Courier New" w:hAnsi="Courier New"/>
                <w:sz w:val="18"/>
                <w:szCs w:val="18"/>
                <w:shd w:val="clear" w:color="auto" w:fill="EBEBEB"/>
              </w:rPr>
              <w:t xml:space="preserve">retrieveStallTimeoutSec</w:t>
            </w:r>
          </w:p>
        </w:tc>
        <w:tc>
          <w:tcPr>
            <w:tcW w:w="1600" w:type="dxa"/>
          </w:tcPr>
          <w:p>
            <w:r>
              <w:rPr>
                <w:rFonts w:ascii="Courier New" w:hAnsi="Courier New"/>
                <w:sz w:val="18"/>
                <w:szCs w:val="18"/>
                <w:shd w:val="clear" w:color="auto" w:fill="EBEBEB"/>
              </w:rPr>
              <w:t xml:space="preserve">0</w:t>
            </w:r>
          </w:p>
        </w:tc>
        <w:tc>
          <w:tcPr>
            <w:tcW w:w="5200" w:type="dxa"/>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shd w:val="clear" w:color="auto" w:fill="F5F5F5"/>
          </w:tcPr>
          <w:p>
            <w:r>
              <w:rPr>
                <w:rFonts w:ascii="Courier New" w:hAnsi="Courier New"/>
                <w:sz w:val="18"/>
                <w:szCs w:val="18"/>
                <w:shd w:val="clear" w:color="auto" w:fill="EBEBEB"/>
              </w:rPr>
              <w:t xml:space="preserve">uiTheme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tcPr>
          <w:p>
            <w:r>
              <w:rPr>
                <w:rFonts w:ascii="Courier New" w:hAnsi="Courier New"/>
                <w:sz w:val="18"/>
                <w:szCs w:val="18"/>
                <w:shd w:val="clear" w:color="auto" w:fill="EBEBEB"/>
              </w:rPr>
              <w:t xml:space="preserve">italicPrivate</w:t>
            </w:r>
          </w:p>
        </w:tc>
        <w:tc>
          <w:tcPr>
            <w:tcW w:w="1600" w:type="dxa"/>
          </w:tcPr>
          <w:p>
            <w:r>
              <w:rPr>
                <w:rFonts w:ascii="Courier New" w:hAnsi="Courier New"/>
                <w:sz w:val="18"/>
                <w:szCs w:val="18"/>
                <w:shd w:val="clear" w:color="auto" w:fill="EBEBEB"/>
              </w:rPr>
              <w:t xml:space="preserve">true</w:t>
            </w:r>
          </w:p>
        </w:tc>
        <w:tc>
          <w:tcPr>
            <w:tcW w:w="5200" w:type="dxa"/>
          </w:tcPr>
          <w:p>
            <w:r>
              <w:t xml:space="preserve">Render private tags in italic in the View Tags window.</w:t>
            </w:r>
          </w:p>
        </w:tc>
      </w:tr>
      <w:tr>
        <w:tc>
          <w:tcPr>
            <w:tcW w:w="2200" w:type="dxa"/>
            <w:shd w:val="clear" w:color="auto" w:fill="F5F5F5"/>
          </w:tcPr>
          <w:p>
            <w:r>
              <w:rPr>
                <w:rFonts w:ascii="Courier New" w:hAnsi="Courier New"/>
                <w:sz w:val="18"/>
                <w:szCs w:val="18"/>
                <w:shd w:val="clear" w:color="auto" w:fill="EBEBEB"/>
              </w:rPr>
              <w:t xml:space="preserve">malformedColor</w:t>
            </w:r>
          </w:p>
        </w:tc>
        <w:tc>
          <w:tcPr>
            <w:tcW w:w="1600" w:type="dxa"/>
            <w:shd w:val="clear" w:color="auto" w:fill="F5F5F5"/>
          </w:tcPr>
          <w:p>
            <w:r>
              <w:rPr>
                <w:rFonts w:ascii="Courier New" w:hAnsi="Courier New"/>
                <w:sz w:val="18"/>
                <w:szCs w:val="18"/>
                <w:shd w:val="clear" w:color="auto" w:fill="EBEBEB"/>
              </w:rPr>
              <w:t xml:space="preserve">"E54545FF"</w:t>
            </w:r>
          </w:p>
        </w:tc>
        <w:tc>
          <w:tcPr>
            <w:tcW w:w="5200" w:type="dxa"/>
            <w:shd w:val="clear" w:color="auto" w:fill="F5F5F5"/>
          </w:tcPr>
          <w:p>
            <w:r>
              <w:t xml:space="preserve">RRGGBBAA colour for tags whose value representation violates the standard.</w:t>
            </w:r>
          </w:p>
        </w:tc>
      </w:tr>
      <w:tr>
        <w:tc>
          <w:tcPr>
            <w:tcW w:w="2200" w:type="dxa"/>
          </w:tcPr>
          <w:p>
            <w:r>
              <w:rPr>
                <w:rFonts w:ascii="Courier New" w:hAnsi="Courier New"/>
                <w:sz w:val="18"/>
                <w:szCs w:val="18"/>
                <w:shd w:val="clear" w:color="auto" w:fill="EBEBEB"/>
              </w:rPr>
              <w:t xml:space="preserve">tagProfiles</w:t>
            </w:r>
          </w:p>
        </w:tc>
        <w:tc>
          <w:tcPr>
            <w:tcW w:w="1600" w:type="dxa"/>
          </w:tcPr>
          <w:p>
            <w:r>
              <w:t xml:space="preserve">PHI profile</w:t>
            </w:r>
          </w:p>
        </w:tc>
        <w:tc>
          <w:tcPr>
            <w:tcW w:w="5200" w:type="dxa"/>
          </w:tcPr>
          <w:p>
            <w:r>
              <w:t xml:space="preserve">Array of tag-highlight profiles (name, colour, enabled, tag list) — see Section 14.2. Wire format matches dicomhdr.</w:t>
            </w:r>
          </w:p>
        </w:tc>
      </w:tr>
      <w:tr>
        <w:tc>
          <w:tcPr>
            <w:tcW w:w="2200" w:type="dxa"/>
            <w:shd w:val="clear" w:color="auto" w:fill="F5F5F5"/>
          </w:tcPr>
          <w:p>
            <w:r>
              <w:rPr>
                <w:rFonts w:ascii="Courier New" w:hAnsi="Courier New"/>
                <w:sz w:val="18"/>
                <w:szCs w:val="18"/>
                <w:shd w:val="clear" w:color="auto" w:fill="EBEBEB"/>
              </w:rPr>
              <w:t xml:space="preserve">profiles</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parallelTransfers</w:t>
            </w:r>
          </w:p>
        </w:tc>
        <w:tc>
          <w:tcPr>
            <w:tcW w:w="6300" w:type="dxa"/>
            <w:shd w:val="clear" w:color="auto" w:fill="F5F5F5"/>
          </w:tcPr>
          <w:p>
            <w:r>
              <w:t xml:space="preserve">Retrieve associations to open to this server at once, 1–4. Omitted (or 0/1) means one at a time; values above 4 are treated as 4.</w:t>
            </w:r>
          </w:p>
        </w:tc>
      </w:tr>
      <w:tr>
        <w:tc>
          <w:tcPr>
            <w:tcW w:w="2700" w:type="dxa"/>
          </w:tcPr>
          <w:p>
            <w:r>
              <w:rPr>
                <w:rFonts w:ascii="Courier New" w:hAnsi="Courier New"/>
                <w:sz w:val="18"/>
                <w:szCs w:val="18"/>
                <w:shd w:val="clear" w:color="auto" w:fill="EBEBEB"/>
              </w:rPr>
              <w:t xml:space="preserve">transferSyntax</w:t>
            </w:r>
          </w:p>
        </w:tc>
        <w:tc>
          <w:tcPr>
            <w:tcW w:w="6300" w:type="dxa"/>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shd w:val="clear" w:color="auto" w:fill="F5F5F5"/>
          </w:tcPr>
          <w:p>
            <w:r>
              <w:rPr>
                <w:rFonts w:ascii="Courier New" w:hAnsi="Courier New"/>
                <w:sz w:val="18"/>
                <w:szCs w:val="18"/>
                <w:shd w:val="clear" w:color="auto" w:fill="EBEBEB"/>
              </w:rPr>
              <w:t xml:space="preserve">ensureUncompressed</w:t>
            </w:r>
          </w:p>
        </w:tc>
        <w:tc>
          <w:tcPr>
            <w:tcW w:w="6300" w:type="dxa"/>
            <w:shd w:val="clear" w:color="auto" w:fill="F5F5F5"/>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tcPr>
          <w:p>
            <w:r>
              <w:rPr>
                <w:rFonts w:ascii="Courier New" w:hAnsi="Courier New"/>
                <w:sz w:val="18"/>
                <w:szCs w:val="18"/>
                <w:shd w:val="clear" w:color="auto" w:fill="EBEBEB"/>
              </w:rPr>
              <w:t xml:space="preserve">transferUncompressed</w:t>
            </w:r>
          </w:p>
        </w:tc>
        <w:tc>
          <w:tcPr>
            <w:tcW w:w="6300" w:type="dxa"/>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