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v1.12.0</w:t>
      </w:r>
    </w:p>
    <w:p>
      <w:pPr>
        <w:spacing w:before="0" w:after="240"/>
        <w:jc w:val="center"/>
      </w:pPr>
      <w:r>
        <w:rPr>
          <w:color w:val="595959"/>
          <w:sz w:val="24"/>
          <w:szCs w:val="24"/>
        </w:rPr>
        <w:t xml:space="preserve">August 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a first run it opens at 60% of the screen width by 80% of its height, centred vertically and left of centre horizontally, leaving the right-hand part of the screen clear for a viewer window or another application. Either way the window is kept wholly inside the desktop work area, so it is never placed under the taskbar — including when a saved position no longer fits, for example after a second monitor is disconnected or the taskbar is moved.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two deliberate divergences: dicomqr's Zip export flag is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While checked, the UID suffix control on the same row is disabled and a suffix left in it is cleared on save — the two options are mutually exclusive.</w:t>
            </w:r>
          </w:p>
        </w:tc>
      </w:tr>
      <w:tr>
        <w:tc>
          <w:tcPr>
            <w:tcW w:w="2700" w:type="dxa"/>
            <w:shd w:val="clear" w:color="auto" w:fill="F5F5F5"/>
          </w:tcPr>
          <w:p>
            <w:r>
              <w:t xml:space="preserve">UID suffix</w:t>
            </w:r>
          </w:p>
        </w:tc>
        <w:tc>
          <w:tcPr>
            <w:tcW w:w="6300" w:type="dxa"/>
            <w:shd w:val="clear" w:color="auto" w:fill="F5F5F5"/>
          </w:tcPr>
          <w:p>
            <w:r>
              <w:t xml:space="preserve">Digits 1-9 appended to site-generated UIDs. Empty = none. Shares the Remap UIDs row and is editable only while Remap UIDs is unchecked.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bl>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UID suffix, date shift, remove private tags,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whatever form the profile itself uses.</w:t>
      </w:r>
    </w:p>
    <w:p>
      <w:r>
        <w:t xml:space="preserve">That display is a convenience, not what is stored. Saving writes each entry back exactly as the profile had it, so a tag written in short form such as 8,80, or as a tags.json alias, keeps that spelling even though the editor showed it padded; only tags newly added are written in the padded form. This matters because a profile's Keep list cancels its base profile's Remove list by exact text match, so silently renormalising the file would break inheritance. Typing a bare tag number is still perfectly valid — it is padded and named the next time the profile is opened.</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Two things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 And the picker never rewrites entries that are already in the field: a tag written as an alias or in short form such as 8,80 keeps that exact spelling, because a base profile's Keep list cancels its Removes list only when the two spellings match character for character. Only newly checked tags are appended, in the full GGGG,EEEE form.</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That includes Output transfer syntax, so an export can be converted (or left as stored) without editing the profile it came from.</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