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v1.13.0</w:t>
      </w:r>
    </w:p>
    <w:p>
      <w:pPr>
        <w:spacing w:before="0" w:after="240"/>
        <w:jc w:val="center"/>
      </w:pPr>
      <w:r>
        <w:rPr>
          <w:color w:val="595959"/>
          <w:sz w:val="24"/>
          <w:szCs w:val="24"/>
        </w:rPr>
        <w:t xml:space="preserve">August 7,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ordered by group and element.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or to one group of like images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groups them — by modality, image size, and for ultrasound whether the file declares a calibrated region, so the analysis screens that need a rectangle are never mixed in with the loops that do not. Choose a group from the list at the top and step through its images one at a time with Previous and Next; each is shown with the areas that will be blanked drawn in black, resolved by the same code the export uses, so what is shown is what will happen.</w:t>
      </w:r>
    </w:p>
    <w:p>
      <w:r>
        <w:t xml:space="preserve">Tick Draw rectangles to mark an area on the image in front of you: drag across it and the rectangle joins the regions this run will apply. How far it reaches is set by Applies to beside it: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in the group is laid out differently, and blanking the same area there would destroy report content the export exists to keep.</w:t>
            </w:r>
          </w:p>
        </w:tc>
      </w:tr>
      <w:tr>
        <w:tc>
          <w:tcPr>
            <w:tcW w:w="2700" w:type="dxa"/>
            <w:shd w:val="clear" w:color="auto" w:fill="F5F5F5"/>
          </w:tcPr>
          <w:p>
            <w:r>
              <w:t xml:space="preserve">This group</w:t>
            </w:r>
          </w:p>
        </w:tc>
        <w:tc>
          <w:tcPr>
            <w:tcW w:w="6300" w:type="dxa"/>
            <w:shd w:val="clear" w:color="auto" w:fill="F5F5F5"/>
          </w:tcPr>
          <w:p>
            <w:r>
              <w:t xml:space="preserve">Every image of the same modality and size — and, for ultrasound, the same answer on whether the file states its own image region. Exactly the group named at the top of the window. Use it where the layout genuinely repeats, such as a series of captures from one machine.</w:t>
            </w:r>
          </w:p>
        </w:tc>
      </w:tr>
      <w:tr>
        <w:tc>
          <w:tcPr>
            <w:tcW w:w="2700" w:type="dxa"/>
          </w:tcPr>
          <w:p>
            <w:r>
              <w:t xml:space="preserve">All images</w:t>
            </w:r>
          </w:p>
        </w:tc>
        <w:tc>
          <w:tcPr>
            <w:tcW w:w="6300" w:type="dxa"/>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and the application can decompress but never compress, a compressed file is decompressed on export whenever masking applies to it — even when Output transfer syntax is As stored. Those files leave as Explicit VR Little Endian and the count is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dicomdir and verbose flags, and any other hand-authored settings without a control, are preserved unchanged so dicomtool-authored profiles survive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one control positioned differently is Zip export, which sits in this dialog's Export section beside the output folder and export folder name it changes.</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