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v1.8.0</w:t>
      </w:r>
    </w:p>
    <w:p>
      <w:pPr>
        <w:spacing w:before="0" w:after="240"/>
        <w:jc w:val="center"/>
      </w:pPr>
      <w:r>
        <w:rPr>
          <w:color w:val="595959"/>
          <w:sz w:val="24"/>
          <w:szCs w:val="24"/>
        </w:rPr>
        <w:t xml:space="preserve">July 23,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the retrieve fails with a clear error only when neither is possible</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Retrieve.</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with an empty results tree and the status bar showing the application version. The window is restored to the size it had when last closed.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PACS Query</w:t>
            </w:r>
          </w:p>
        </w:tc>
        <w:tc>
          <w:tcPr>
            <w:tcW w:w="6300" w:type="dxa"/>
          </w:tcPr>
          <w:p>
            <w:r>
              <w:t xml:space="preserve">Search a remote PACS and retrieve studies.</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Import</w:t>
            </w:r>
          </w:p>
        </w:tc>
        <w:tc>
          <w:tcPr>
            <w:tcW w:w="6300" w:type="dxa"/>
            <w:shd w:val="clear" w:color="auto" w:fill="F5F5F5"/>
          </w:tcPr>
          <w:p>
            <w:r>
              <w:t xml:space="preserve">Copy DICOM files from an external folder into the download folder.</w:t>
            </w:r>
          </w:p>
        </w:tc>
      </w:tr>
    </w:tbl>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Connections.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If an object can be delivered neither in the required syntax nor in a locally convertible one (e.g. the archive stores JPEG-LS or RLE), the retrieve is aborted with an error dialog naming the required syntax rather than leaving a partial or mixed study;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UI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2"/>
      </w:pPr>
      <w:r>
        <w:t>6.5  Tooltips</w:t>
      </w:r>
    </w:p>
    <w:p>
      <w:r>
        <w:t xml:space="preserve">Hovering the mouse cursor over a study or series row for approximately 0.6 seconds displays a tooltip showing the Study Instance UID and Accession Number (for study rows) or the Series Instance UID and Modality (for series rows). Moving the cursor off the row dismisses the tooltip immediately.</w:t>
      </w:r>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C-MOVE the bar also advances within a study as individual files arrive; for C-GET it advances once per completed target.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error handling is stricter: the first failed sub-operation or target error aborts the whole retrieve immediately and a dialog reports the required syntax, the failure details, and how many files (all in the required syntax) were received before the abort. There is no partial-retry offer — every object is either delivered in (or converted to) the required syntax, or the retrieve fails. When files arrived in a different syntax and were converted locally, the completion status appends '(N converted locally to …)'.</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The bottom bar contains an instance counter (e.g. </w:t>
      </w:r>
      <w:r>
        <w:rPr>
          <w:rFonts w:ascii="Courier New" w:hAnsi="Courier New"/>
          <w:sz w:val="18"/>
          <w:szCs w:val="18"/>
          <w:shd w:val="clear" w:color="auto" w:fill="EBEBEB"/>
        </w:rPr>
        <w:t xml:space="preserve">45 / 120</w:t>
      </w:r>
      <w:r>
        <w:t xml:space="preserve">),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Home or F</w:t>
            </w:r>
          </w:p>
        </w:tc>
        <w:tc>
          <w:tcPr>
            <w:tcW w:w="6300" w:type="dxa"/>
            <w:shd w:val="clear" w:color="auto" w:fill="F5F5F5"/>
          </w:tcPr>
          <w:p>
            <w:r>
              <w:t xml:space="preserve">Reset zoom and pan to fit.</w:t>
            </w:r>
          </w:p>
        </w:tc>
      </w:tr>
      <w:tr>
        <w:tc>
          <w:tcPr>
            <w:tcW w:w="2700" w:type="dxa"/>
          </w:tcPr>
          <w:p>
            <w:r>
              <w:t xml:space="preserve">R</w:t>
            </w:r>
          </w:p>
        </w:tc>
        <w:tc>
          <w:tcPr>
            <w:tcW w:w="6300" w:type="dxa"/>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2000 (lossless and lossy), and uncompressed (native) pixel data. Files stored in JPEG-LS, JPEG Lossless, or RLE Lossless formats cannot be decoded and display a message suggesting Open in Viewer; to view those, either use an external viewer or require an uncompressed transfer syntax in the server profile before retrieving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Thumbnails are arranged in a three-column grid. Double-click any thumbnail to open that series in the full series viewer.</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dialog.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Export…</w:t>
            </w:r>
          </w:p>
        </w:tc>
        <w:tc>
          <w:tcPr>
            <w:tcW w:w="6300" w:type="dxa"/>
          </w:tcPr>
          <w:p>
            <w:r>
              <w:t xml:space="preserve">Saves the current results tree to CSV or JSON.</w:t>
            </w:r>
          </w:p>
        </w:tc>
      </w:tr>
      <w:tr>
        <w:tc>
          <w:tcPr>
            <w:tcW w:w="2700" w:type="dxa"/>
            <w:shd w:val="clear" w:color="auto" w:fill="F5F5F5"/>
          </w:tcPr>
          <w:p>
            <w:r>
              <w:t xml:space="preserve">Retrieve Selected</w:t>
            </w:r>
          </w:p>
        </w:tc>
        <w:tc>
          <w:tcPr>
            <w:tcW w:w="6300" w:type="dxa"/>
            <w:shd w:val="clear" w:color="auto" w:fill="F5F5F5"/>
          </w:tcPr>
          <w:p>
            <w:r>
              <w:t xml:space="preserve">Starts retrieval of all currently selected tree nodes.</w:t>
            </w:r>
          </w:p>
        </w:tc>
      </w:tr>
      <w:tr>
        <w:tc>
          <w:tcPr>
            <w:tcW w:w="2700" w:type="dxa"/>
          </w:tcPr>
          <w:p>
            <w:r>
              <w:t xml:space="preserve">Cancel retrieve</w:t>
            </w:r>
          </w:p>
        </w:tc>
        <w:tc>
          <w:tcPr>
            <w:tcW w:w="6300" w:type="dxa"/>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showing the last 500 lines of the DICOM protocol log. Buttons: Refresh (manual update), Copy All (clipboard), Clear. The log auto-refreshes once per second while the dialog is open.</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the Preferences dialog from File &gt; Preferences…. Changes take effect when Apply is clicked and are written immediately to disk.</w:t>
      </w:r>
    </w:p>
    <w:p>
      <w:pPr>
        <w:pStyle w:val="Heading2"/>
      </w:pPr>
      <w:r>
        <w:t>14.1  UI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Theme</w:t>
            </w:r>
          </w:p>
        </w:tc>
        <w:tc>
          <w:tcPr>
            <w:tcW w:w="6300" w:type="dxa"/>
          </w:tcPr>
          <w:p>
            <w:r>
              <w:t xml:space="preserve">Selects the application colour theme: Light or Dark.</w:t>
            </w:r>
          </w:p>
        </w:tc>
      </w:tr>
      <w:tr>
        <w:tc>
          <w:tcPr>
            <w:tcW w:w="2700" w:type="dxa"/>
            <w:shd w:val="clear" w:color="auto" w:fill="F5F5F5"/>
          </w:tcPr>
          <w:p>
            <w:r>
              <w:t xml:space="preserve">Tree font</w:t>
            </w:r>
          </w:p>
        </w:tc>
        <w:tc>
          <w:tcPr>
            <w:tcW w:w="6300" w:type="dxa"/>
            <w:shd w:val="clear" w:color="auto" w:fill="F5F5F5"/>
          </w:tcPr>
          <w:p>
            <w:r>
              <w:t xml:space="preserve">Selects the font used for results tree rows. Select (default) to use the application's built-in font.</w:t>
            </w:r>
          </w:p>
        </w:tc>
      </w:tr>
      <w:tr>
        <w:tc>
          <w:tcPr>
            <w:tcW w:w="2700" w:type="dxa"/>
          </w:tcPr>
          <w:p>
            <w:r>
              <w:t xml:space="preserve">Selection colour</w:t>
            </w:r>
          </w:p>
        </w:tc>
        <w:tc>
          <w:tcPr>
            <w:tcW w:w="6300" w:type="dxa"/>
          </w:tcPr>
          <w:p>
            <w:r>
              <w:t xml:space="preserve">The colour applied to selected rows. Click Choose colour… to open a colour picker. If unset, selected rows follow the theme's primary accent colour.</w:t>
            </w:r>
          </w:p>
        </w:tc>
      </w:tr>
      <w:tr>
        <w:tc>
          <w:tcPr>
            <w:tcW w:w="2700" w:type="dxa"/>
            <w:shd w:val="clear" w:color="auto" w:fill="F5F5F5"/>
          </w:tcPr>
          <w:p>
            <w:r>
              <w:t xml:space="preserve">Selection style</w:t>
            </w:r>
          </w:p>
        </w:tc>
        <w:tc>
          <w:tcPr>
            <w:tcW w:w="6300" w:type="dxa"/>
            <w:shd w:val="clear" w:color="auto" w:fill="F5F5F5"/>
          </w:tcPr>
          <w:p>
            <w:r>
              <w:t xml:space="preserve">The font style applied to selected rows: Bold and/or Italic.</w:t>
            </w:r>
          </w:p>
        </w:tc>
      </w:tr>
    </w:tbl>
    <w:p/>
    <w:p>
      <w:pPr>
        <w:pStyle w:val="Heading2"/>
      </w:pPr>
      <w:r>
        <w:t>14.2  Connections Section</w:t>
      </w:r>
    </w:p>
    <w:p>
      <w:r>
        <w:t xml:space="preserve">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14.3  Retrieve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bl>
    <w:p/>
    <w:p>
      <w:r>
        <w:t xml:space="preserve">Changes to AE Title or SCP port take effect the next time a connection is established.</w:t>
      </w:r>
    </w:p>
    <w:p>
      <w:pPr>
        <w:pStyle w:val="Heading2"/>
      </w:pPr>
      <w:r>
        <w:t>14.4  Image Viewer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v1.8.0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the retrieve aborts with an error when an object can be neither delivered nor converted.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Only when the PACS stores data in a format the application cannot decode either (e.g. JPEG-LS, RLE) does the retrieve abort with an error naming the required syntax;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w:t>
      </w:r>
      <w:r>
        <w:rPr>
          <w:rFonts w:ascii="Courier New" w:hAnsi="Courier New"/>
          <w:sz w:val="18"/>
          <w:szCs w:val="18"/>
          <w:shd w:val="clear" w:color="auto" w:fill="EBEBEB"/>
        </w:rPr>
        <w:t xml:space="preserve">retrieveStallTimeoutSec</w:t>
      </w:r>
      <w:r>
        <w:t xml:space="preserve"> in settings.json),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to -1 to disable stall detection.</w:t>
      </w:r>
    </w:p>
    <w:p>
      <w:r>
        <w:br w:type="page"/>
      </w:r>
    </w:p>
    <w:p>
      <w:pPr>
        <w:pStyle w:val="Heading1"/>
      </w:pPr>
      <w:r>
        <w:t>Appendix C  Credits and Acknowledgements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 Architecture planning, code generation, DICOM standard research, and documentation were produced in collaboration with Claude Code.</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