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v1.23.0</w:t>
      </w:r>
    </w:p>
    <w:p>
      <w:pPr>
        <w:spacing w:before="0" w:after="240"/>
        <w:jc w:val="center"/>
      </w:pPr>
      <w:r>
        <w:rPr>
          <w:color w:val="595959"/>
          <w:sz w:val="24"/>
          <w:szCs w:val="24"/>
        </w:rPr>
        <w:t xml:space="preserve">October 7,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Mark as de-identified,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Mark as de-identified</w:t>
            </w:r>
          </w:p>
        </w:tc>
        <w:tc>
          <w:tcPr>
            <w:tcW w:w="6300" w:type="dxa"/>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1.24.0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shd w:val="clear" w:color="auto" w:fill="F5F5F5"/>
          </w:tcPr>
          <w:p>
            <w:r>
              <w:t xml:space="preserve">Zip export</w:t>
            </w:r>
          </w:p>
        </w:tc>
        <w:tc>
          <w:tcPr>
            <w:tcW w:w="6300" w:type="dxa"/>
            <w:shd w:val="clear" w:color="auto" w:fill="F5F5F5"/>
          </w:tcPr>
          <w:p>
            <w:r>
              <w:t xml:space="preserve">Pre-check the Modification dialog's Zip export option for runs with this profile — the run is written as a single &lt;export folder name&gt;.zip. The dialog checkbox still decides per run.</w:t>
            </w:r>
          </w:p>
        </w:tc>
      </w:tr>
      <w:tr>
        <w:tc>
          <w:tcPr>
            <w:tcW w:w="2700" w:type="dxa"/>
          </w:tcPr>
          <w:p>
            <w:r>
              <w:t xml:space="preserve">Flat export</w:t>
            </w:r>
          </w:p>
        </w:tc>
        <w:tc>
          <w:tcPr>
            <w:tcW w:w="6300" w:type="dxa"/>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Ignore SOP classes</w:t>
            </w:r>
          </w:p>
        </w:tc>
        <w:tc>
          <w:tcPr>
            <w:tcW w:w="6300" w:type="dxa"/>
            <w:shd w:val="clear" w:color="auto" w:fill="F5F5F5"/>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