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v1.11.0</w:t>
      </w:r>
    </w:p>
    <w:p>
      <w:pPr>
        <w:spacing w:before="0" w:after="240"/>
        <w:jc w:val="center"/>
      </w:pPr>
      <w:r>
        <w:rPr>
          <w:color w:val="595959"/>
          <w:sz w:val="24"/>
          <w:szCs w:val="24"/>
        </w:rPr>
        <w:t xml:space="preserve">August 3,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The dialog is organized into three tabs — SCP &amp; Network, User Interface, and Modification &amp; Export. Changes take effect when Apply is clicked and are written immediately to disk.</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The list shows each profile with its set/remove counts and base profile;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One TAG=VALUE per line. TAG is a GGGG,EEEE tag or a tags.json alias (e.g. patient name).</w:t>
            </w:r>
          </w:p>
        </w:tc>
      </w:tr>
      <w:tr>
        <w:tc>
          <w:tcPr>
            <w:tcW w:w="2700" w:type="dxa"/>
            <w:shd w:val="clear" w:color="auto" w:fill="F5F5F5"/>
          </w:tcPr>
          <w:p>
            <w:r>
              <w:t xml:space="preserve">Remove tags</w:t>
            </w:r>
          </w:p>
        </w:tc>
        <w:tc>
          <w:tcPr>
            <w:tcW w:w="6300" w:type="dxa"/>
            <w:shd w:val="clear" w:color="auto" w:fill="F5F5F5"/>
          </w:tcPr>
          <w:p>
            <w:r>
              <w:t xml:space="preserve">Tags deleted from every file — one tag or alias per line.</w:t>
            </w:r>
          </w:p>
        </w:tc>
      </w:tr>
      <w:tr>
        <w:tc>
          <w:tcPr>
            <w:tcW w:w="2700" w:type="dxa"/>
          </w:tcPr>
          <w:p>
            <w:r>
              <w:t xml:space="preserve">Keep tags</w:t>
            </w:r>
          </w:p>
        </w:tc>
        <w:tc>
          <w:tcPr>
            <w:tcW w:w="6300" w:type="dxa"/>
          </w:tcPr>
          <w:p>
            <w:r>
              <w:t xml:space="preserve">Tags retained even when the base profile removes them.</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UID suffix</w:t>
            </w:r>
          </w:p>
        </w:tc>
        <w:tc>
          <w:tcPr>
            <w:tcW w:w="6300" w:type="dxa"/>
          </w:tcPr>
          <w:p>
            <w:r>
              <w:t xml:space="preserve">Digits 1-9 appended to site-generated UIDs. Empty = none. Cannot be combined with Remap UIDs.</w:t>
            </w:r>
          </w:p>
        </w:tc>
      </w:tr>
      <w:tr>
        <w:tc>
          <w:tcPr>
            <w:tcW w:w="2700" w:type="dxa"/>
            <w:shd w:val="clear" w:color="auto" w:fill="F5F5F5"/>
          </w:tcPr>
          <w:p>
            <w:r>
              <w:t xml:space="preserve">Remap UIDs</w:t>
            </w:r>
          </w:p>
        </w:tc>
        <w:tc>
          <w:tcPr>
            <w:tcW w:w="6300" w:type="dxa"/>
            <w:shd w:val="clear" w:color="auto" w:fill="F5F5F5"/>
          </w:tcPr>
          <w:p>
            <w:r>
              <w:t xml:space="preserve">Replace every site-generated UID with a fresh consistent value — the same source UID always maps to the same replacement within a run, keeping cross-references intact. Standard and structural UIDs are never touched.</w:t>
            </w:r>
          </w:p>
        </w:tc>
      </w:tr>
      <w:tr>
        <w:tc>
          <w:tcPr>
            <w:tcW w:w="2700" w:type="dxa"/>
          </w:tcPr>
          <w:p>
            <w:r>
              <w:t xml:space="preserve">Remove private tags</w:t>
            </w:r>
          </w:p>
        </w:tc>
        <w:tc>
          <w:tcPr>
            <w:tcW w:w="6300" w:type="dxa"/>
          </w:tcPr>
          <w:p>
            <w:r>
              <w:t xml:space="preserve">Delete all private (odd-group) tags.</w:t>
            </w:r>
          </w:p>
        </w:tc>
      </w:tr>
      <w:tr>
        <w:tc>
          <w:tcPr>
            <w:tcW w:w="2700" w:type="dxa"/>
            <w:shd w:val="clear" w:color="auto" w:fill="F5F5F5"/>
          </w:tcPr>
          <w:p>
            <w:r>
              <w:t xml:space="preserve">Keep private tags</w:t>
            </w:r>
          </w:p>
        </w:tc>
        <w:tc>
          <w:tcPr>
            <w:tcW w:w="6300" w:type="dxa"/>
            <w:shd w:val="clear" w:color="auto" w:fill="F5F5F5"/>
          </w:tcPr>
          <w:p>
            <w:r>
              <w:t xml:space="preserve">Retain private tags even when a base profile removes them.</w:t>
            </w:r>
          </w:p>
        </w:tc>
      </w:tr>
      <w:tr>
        <w:tc>
          <w:tcPr>
            <w:tcW w:w="2700" w:type="dxa"/>
          </w:tcPr>
          <w:p>
            <w:r>
              <w:t xml:space="preserve">Mask top pixel rows</w:t>
            </w:r>
          </w:p>
        </w:tc>
        <w:tc>
          <w:tcPr>
            <w:tcW w:w="6300" w:type="dxa"/>
          </w:tcPr>
          <w:p>
            <w:r>
              <w:t xml:space="preserve">Blank out this many rows at the top of the pixel data (burned-in annotations).</w:t>
            </w:r>
          </w:p>
        </w:tc>
      </w:tr>
      <w:tr>
        <w:tc>
          <w:tcPr>
            <w:tcW w:w="2700" w:type="dxa"/>
            <w:shd w:val="clear" w:color="auto" w:fill="F5F5F5"/>
          </w:tcPr>
          <w:p>
            <w:r>
              <w:t xml:space="preserve">Fix VR</w:t>
            </w:r>
          </w:p>
        </w:tc>
        <w:tc>
          <w:tcPr>
            <w:tcW w:w="6300" w:type="dxa"/>
            <w:shd w:val="clear" w:color="auto" w:fill="F5F5F5"/>
          </w:tcPr>
          <w:p>
            <w:r>
              <w:t xml:space="preserve">Handling of value-representation violations: (off), correct, skip, or passthrough.</w:t>
            </w:r>
          </w:p>
        </w:tc>
      </w:tr>
    </w:tbl>
    <w:p/>
    <w:p>
      <w:r>
        <w:t xml:space="preserve">Profiles may additionally define per-modality overrides, ignoretype / ignoremodality filters, and the dicomdir and verbose flags. These have no dialog controls — the editor lists them in an italic note and preserves them unchanged, so hand-authored (or dicomtool-authored) settings survive a round-trip through the editor.</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writes the export to &lt;output folder&gt;\&lt;export folder name&gt;. The export folder name is entered in the confirmation dialog — a profile-name-plus-timestamp suggestion is pre-filled, and typing a value into the dialog's Patient Name set field auto-fills the Patient ID set field and the export folder name with the same value, since all three usually carry the new anonymized identity; a field stops following the moment it is edited directly, so the auto-filled values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Checking Zip export in the dialog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v1.11.0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