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v1.5.0</w:t>
      </w:r>
    </w:p>
    <w:p>
      <w:pPr>
        <w:spacing w:before="0" w:after="240"/>
        <w:jc w:val="center"/>
      </w:pPr>
      <w:r>
        <w:rPr>
          <w:color w:val="595959"/>
          <w:sz w:val="24"/>
          <w:szCs w:val="24"/>
        </w:rPr>
        <w:t xml:space="preserve">June 25,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push them to any PACS via C-STORE or delete them</w:t>
      </w:r>
    </w:p>
    <w:p>
      <w:pPr>
        <w:pStyle w:val="ListBullet"/>
      </w:pPr>
      <w:r>
        <w:t xml:space="preserve">Preview DICOM images in the built-in viewer with interactive window/level, zoom and pan, modality-specific W/L presets, colour maps for PET/SPECT, DICOM annotation overlays, and study overview grids; decodes JPEG Baseline, JPEG 2000, and uncompressed pixel data</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request uncompressed pixel data transfer per server profile, ensuring the built-in viewer can display all received images regardless of how the PACS stores them</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Retrieve.</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with an empty results tree and the status bar showing the application version. The window is restored to the size it had when last closed.</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PACS Query</w:t>
            </w:r>
          </w:p>
        </w:tc>
        <w:tc>
          <w:tcPr>
            <w:tcW w:w="6300" w:type="dxa"/>
          </w:tcPr>
          <w:p>
            <w:r>
              <w:t xml:space="preserve">Search a remote PACS and retrieve studies.</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Import</w:t>
            </w:r>
          </w:p>
        </w:tc>
        <w:tc>
          <w:tcPr>
            <w:tcW w:w="6300" w:type="dxa"/>
            <w:shd w:val="clear" w:color="auto" w:fill="F5F5F5"/>
          </w:tcPr>
          <w:p>
            <w:r>
              <w:t xml:space="preserve">Copy DICOM files from an external folder into the download folder.</w:t>
            </w:r>
          </w:p>
        </w:tc>
      </w:tr>
    </w:tbl>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Connections.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w:t>
            </w:r>
          </w:p>
        </w:tc>
        <w:tc>
          <w:tcPr>
            <w:tcW w:w="6300" w:type="dxa"/>
            <w:shd w:val="clear" w:color="auto" w:fill="F5F5F5"/>
          </w:tcPr>
          <w:p>
            <w:r>
              <w:t xml:space="preserve">When 'Request uncompressed transfer syntax only' is ticked, dicomqr restricts its A-ASSOCIATE negotiation to Explicit VR Little Endian and Implicit VR Little Endian only. A conformant PACS must transcode compressed pixel data before sending. Useful when the PACS stores data in a format the built-in viewer cannot decode (e.g. JPEG-LS). Leave unticked unless needed — some PACS systems cannot transcode and will fail the transfer.</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UI (by default, bold in the theme's primary accent colour — see Section 11.1). Click the same row again to deselect it. Multiple rows at any level (patient, study, or series) may be selected simultaneously.</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2"/>
      </w:pPr>
      <w:r>
        <w:t>6.5  Tooltips</w:t>
      </w:r>
    </w:p>
    <w:p>
      <w:r>
        <w:t xml:space="preserve">Hovering the mouse cursor over a study or series row for approximately 0.6 seconds displays a tooltip showing the Study Instance UID and Accession Number (for study rows) or the Series Instance UID and Modality (for series rows). Moving the cursor off the row dismisses the tooltip immediately.</w:t>
      </w:r>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pPr>
        <w:pStyle w:val="Heading2"/>
      </w:pPr>
      <w:r>
        <w:t>7.3  Progress</w:t>
      </w:r>
    </w:p>
    <w:p>
      <w:r>
        <w:t xml:space="preserve">The progress bar tracks completion across all selected studies and series, advancing as each study or series finishes. For C-MOVE the bar also advances within a study as individual files arrive; for C-GET it advances once per completed target.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Scanning the Download Folder</w:t>
      </w:r>
    </w:p>
    <w:p>
      <w:r>
        <w:t xml:space="preserve">Click Scan (or the folder icon to open the folder first). dicomqr walks the download directory, parses each </w:t>
      </w:r>
      <w:r>
        <w:rPr>
          <w:rFonts w:ascii="Courier New" w:hAnsi="Courier New"/>
          <w:sz w:val="18"/>
          <w:szCs w:val="18"/>
          <w:shd w:val="clear" w:color="auto" w:fill="EBEBEB"/>
        </w:rPr>
        <w:t xml:space="preserve">.dcm</w:t>
      </w:r>
      <w:r>
        <w:t xml:space="preserve"> file (skipping pixel data for speed), and builds a Patient &gt; Study &gt; Series tree. The status label shows progress and a file count. The folder button opens the download directory in Windows Explorer.</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The bottom bar contains an instance counter (e.g. </w:t>
      </w:r>
      <w:r>
        <w:rPr>
          <w:rFonts w:ascii="Courier New" w:hAnsi="Courier New"/>
          <w:sz w:val="18"/>
          <w:szCs w:val="18"/>
          <w:shd w:val="clear" w:color="auto" w:fill="EBEBEB"/>
        </w:rPr>
        <w:t xml:space="preserve">45 / 120</w:t>
      </w:r>
      <w:r>
        <w:t xml:space="preserve">), a navigation slider, a Window preset dropdown (see Section 8.3.2), a Colour map dropdown (see Section 8.3.3), an Annotations checkbox (see Section 8.3.5), a Reset button, and an info label showing pixel dimensions and the current W/L values.</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Home or F</w:t>
            </w:r>
          </w:p>
        </w:tc>
        <w:tc>
          <w:tcPr>
            <w:tcW w:w="6300" w:type="dxa"/>
            <w:shd w:val="clear" w:color="auto" w:fill="F5F5F5"/>
          </w:tcPr>
          <w:p>
            <w:r>
              <w:t xml:space="preserve">Reset zoom and pan to fit.</w:t>
            </w:r>
          </w:p>
        </w:tc>
      </w:tr>
      <w:tr>
        <w:tc>
          <w:tcPr>
            <w:tcW w:w="2700" w:type="dxa"/>
          </w:tcPr>
          <w:p>
            <w:r>
              <w:t xml:space="preserve">R</w:t>
            </w:r>
          </w:p>
        </w:tc>
        <w:tc>
          <w:tcPr>
            <w:tcW w:w="6300" w:type="dxa"/>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2000 (lossless and lossy), and uncompressed (native) pixel data. Files stored in JPEG-LS, JPEG Lossless, or RLE Lossless formats cannot be decoded and display a message suggesting Open in Viewer; to view those, either use an external viewer or enable 'Request uncompressed transfer syntax only' in the server profile before retrieving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Thumbnails are arranged in a three-column grid. Double-click any thumbnail to open that series in the full series viewer.</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tree is rescanned automatically.</w:t>
      </w:r>
    </w:p>
    <w:p>
      <w:r>
        <w:t xml:space="preserve">Warning: Deletion is permanent. Files are not moved to the Recycle Bin.</w:t>
      </w:r>
    </w:p>
    <w:p>
      <w:pPr>
        <w:pStyle w:val="Heading2"/>
      </w:pPr>
      <w:r>
        <w:t>8.7  Selection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Delete Selected…</w:t>
            </w:r>
          </w:p>
        </w:tc>
        <w:tc>
          <w:tcPr>
            <w:tcW w:w="6300" w:type="dxa"/>
            <w:shd w:val="clear" w:color="auto" w:fill="F5F5F5"/>
          </w:tcPr>
          <w:p>
            <w:r>
              <w:t xml:space="preserve">Deletes all selected files after confirmation.</w:t>
            </w:r>
          </w:p>
        </w:tc>
      </w:tr>
    </w:tbl>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Enter or browse to a source folder and click Scan. dicomqr walks the folder and builds a tree of studies and series found in it. The destination folder (the configured download folder) is shown read-only below the source field.</w:t>
      </w:r>
    </w:p>
    <w:p>
      <w:pPr>
        <w:pStyle w:val="Heading2"/>
      </w:pPr>
      <w:r>
        <w:t>9.2  Selecting and Importing</w:t>
      </w:r>
    </w:p>
    <w:p>
      <w:r>
        <w:t xml:space="preserve">Click rows in the tree to select them.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dialog.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Export…</w:t>
            </w:r>
          </w:p>
        </w:tc>
        <w:tc>
          <w:tcPr>
            <w:tcW w:w="6300" w:type="dxa"/>
          </w:tcPr>
          <w:p>
            <w:r>
              <w:t xml:space="preserve">Saves the current results tree to CSV or JSON.</w:t>
            </w:r>
          </w:p>
        </w:tc>
      </w:tr>
      <w:tr>
        <w:tc>
          <w:tcPr>
            <w:tcW w:w="2700" w:type="dxa"/>
            <w:shd w:val="clear" w:color="auto" w:fill="F5F5F5"/>
          </w:tcPr>
          <w:p>
            <w:r>
              <w:t xml:space="preserve">Retrieve Selected</w:t>
            </w:r>
          </w:p>
        </w:tc>
        <w:tc>
          <w:tcPr>
            <w:tcW w:w="6300" w:type="dxa"/>
            <w:shd w:val="clear" w:color="auto" w:fill="F5F5F5"/>
          </w:tcPr>
          <w:p>
            <w:r>
              <w:t xml:space="preserve">Starts retrieval of all currently selected tree nodes.</w:t>
            </w:r>
          </w:p>
        </w:tc>
      </w:tr>
      <w:tr>
        <w:tc>
          <w:tcPr>
            <w:tcW w:w="2700" w:type="dxa"/>
          </w:tcPr>
          <w:p>
            <w:r>
              <w:t xml:space="preserve">Cancel retrieve</w:t>
            </w:r>
          </w:p>
        </w:tc>
        <w:tc>
          <w:tcPr>
            <w:tcW w:w="6300" w:type="dxa"/>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showing the last 500 lines of the DICOM protocol log. Buttons: Refresh (manual update), Copy All (clipboard), Clear. The log auto-refreshes once per second while the dialog is open.</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pPr>
        <w:pStyle w:val="Heading1"/>
      </w:pPr>
      <w:r>
        <w:t>14  Preferences</w:t>
      </w:r>
    </w:p>
    <w:p>
      <w:r>
        <w:t xml:space="preserve">Open the Preferences dialog from File &gt; Preferences…. Changes take effect when Apply is clicked and are written immediately to disk.</w:t>
      </w:r>
    </w:p>
    <w:p>
      <w:pPr>
        <w:pStyle w:val="Heading2"/>
      </w:pPr>
      <w:r>
        <w:t>14.1  UI Section</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Theme</w:t>
            </w:r>
          </w:p>
        </w:tc>
        <w:tc>
          <w:tcPr>
            <w:tcW w:w="6300" w:type="dxa"/>
          </w:tcPr>
          <w:p>
            <w:r>
              <w:t xml:space="preserve">Selects the application colour theme: Light or Dark.</w:t>
            </w:r>
          </w:p>
        </w:tc>
      </w:tr>
      <w:tr>
        <w:tc>
          <w:tcPr>
            <w:tcW w:w="2700" w:type="dxa"/>
            <w:shd w:val="clear" w:color="auto" w:fill="F5F5F5"/>
          </w:tcPr>
          <w:p>
            <w:r>
              <w:t xml:space="preserve">Tree font</w:t>
            </w:r>
          </w:p>
        </w:tc>
        <w:tc>
          <w:tcPr>
            <w:tcW w:w="6300" w:type="dxa"/>
            <w:shd w:val="clear" w:color="auto" w:fill="F5F5F5"/>
          </w:tcPr>
          <w:p>
            <w:r>
              <w:t xml:space="preserve">Selects the font used for results tree rows. Select (default) to use the application's built-in font.</w:t>
            </w:r>
          </w:p>
        </w:tc>
      </w:tr>
      <w:tr>
        <w:tc>
          <w:tcPr>
            <w:tcW w:w="2700" w:type="dxa"/>
          </w:tcPr>
          <w:p>
            <w:r>
              <w:t xml:space="preserve">Selection colour</w:t>
            </w:r>
          </w:p>
        </w:tc>
        <w:tc>
          <w:tcPr>
            <w:tcW w:w="6300" w:type="dxa"/>
          </w:tcPr>
          <w:p>
            <w:r>
              <w:t xml:space="preserve">The colour applied to selected rows. Click Choose colour… to open a colour picker. If unset, selected rows follow the theme's primary accent colour.</w:t>
            </w:r>
          </w:p>
        </w:tc>
      </w:tr>
      <w:tr>
        <w:tc>
          <w:tcPr>
            <w:tcW w:w="2700" w:type="dxa"/>
            <w:shd w:val="clear" w:color="auto" w:fill="F5F5F5"/>
          </w:tcPr>
          <w:p>
            <w:r>
              <w:t xml:space="preserve">Selection style</w:t>
            </w:r>
          </w:p>
        </w:tc>
        <w:tc>
          <w:tcPr>
            <w:tcW w:w="6300" w:type="dxa"/>
            <w:shd w:val="clear" w:color="auto" w:fill="F5F5F5"/>
          </w:tcPr>
          <w:p>
            <w:r>
              <w:t xml:space="preserve">The font style applied to selected rows: Bold and/or Italic.</w:t>
            </w:r>
          </w:p>
        </w:tc>
      </w:tr>
    </w:tbl>
    <w:p/>
    <w:p>
      <w:pPr>
        <w:pStyle w:val="Heading2"/>
      </w:pPr>
      <w:r>
        <w:t>14.2  Connections Section</w:t>
      </w:r>
    </w:p>
    <w:p>
      <w:r>
        <w:t xml:space="preserve">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w:t>
            </w:r>
          </w:p>
        </w:tc>
        <w:tc>
          <w:tcPr>
            <w:tcW w:w="6300" w:type="dxa"/>
            <w:shd w:val="clear" w:color="auto" w:fill="F5F5F5"/>
          </w:tcPr>
          <w:p>
            <w:r>
              <w:t xml:space="preserve">When ticked, negotiates only uncompressed transfer syntaxes — see Section 4.1 for full details and caveats.</w:t>
            </w:r>
          </w:p>
        </w:tc>
      </w:tr>
    </w:tbl>
    <w:p/>
    <w:p>
      <w:pPr>
        <w:pStyle w:val="Heading2"/>
      </w:pPr>
      <w:r>
        <w:t>14.3  Retrieve Section</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bl>
    <w:p/>
    <w:p>
      <w:r>
        <w:t xml:space="preserve">Changes to AE Title or SCP port take effect the next time a connection is established.</w:t>
      </w:r>
    </w:p>
    <w:p>
      <w:pPr>
        <w:pStyle w:val="Heading2"/>
      </w:pPr>
      <w:r>
        <w:t>14.4  Image Viewer Section</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v1.5.0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with warnings</w:t>
            </w:r>
          </w:p>
        </w:tc>
        <w:tc>
          <w:tcPr>
            <w:tcW w:w="6300" w:type="dxa"/>
          </w:tcPr>
          <w:p>
            <w:r>
              <w:rPr>
                <w:rFonts w:ascii="Courier New" w:hAnsi="Courier New"/>
                <w:sz w:val="18"/>
                <w:szCs w:val="18"/>
                <w:shd w:val="clear" w:color="auto" w:fill="EBEBEB"/>
              </w:rPr>
              <w:t xml:space="preserve">Retrieved &lt;N&gt; files (&lt;X&gt;/&lt;total&gt; targets had errors — see log)</w:t>
            </w:r>
          </w:p>
        </w:tc>
      </w:tr>
      <w:tr>
        <w:tc>
          <w:tcPr>
            <w:tcW w:w="2700" w:type="dxa"/>
            <w:shd w:val="clear" w:color="auto" w:fill="F5F5F5"/>
          </w:tcPr>
          <w:p>
            <w:r>
              <w:t xml:space="preserve">Retrieve cancelled</w:t>
            </w:r>
          </w:p>
        </w:tc>
        <w:tc>
          <w:tcPr>
            <w:tcW w:w="6300" w:type="dxa"/>
            <w:shd w:val="clear" w:color="auto" w:fill="F5F5F5"/>
          </w:tcPr>
          <w:p>
            <w:r>
              <w:rPr>
                <w:rFonts w:ascii="Courier New" w:hAnsi="Courier New"/>
                <w:sz w:val="18"/>
                <w:szCs w:val="18"/>
                <w:shd w:val="clear" w:color="auto" w:fill="EBEBEB"/>
              </w:rPr>
              <w:t xml:space="preserve">Retrieve cancelled</w:t>
            </w:r>
          </w:p>
        </w:tc>
      </w:tr>
      <w:tr>
        <w:tc>
          <w:tcPr>
            <w:tcW w:w="2700" w:type="dxa"/>
          </w:tcPr>
          <w:p>
            <w:r>
              <w:t xml:space="preserve">C-ECHO test passed</w:t>
            </w:r>
          </w:p>
        </w:tc>
        <w:tc>
          <w:tcPr>
            <w:tcW w:w="6300" w:type="dxa"/>
          </w:tcPr>
          <w:p>
            <w:r>
              <w:rPr>
                <w:rFonts w:ascii="Courier New" w:hAnsi="Courier New"/>
                <w:sz w:val="18"/>
                <w:szCs w:val="18"/>
                <w:shd w:val="clear" w:color="auto" w:fill="EBEBEB"/>
              </w:rPr>
              <w:t xml:space="preserve">C-ECHO success</w:t>
            </w:r>
          </w:p>
        </w:tc>
      </w:tr>
      <w:tr>
        <w:tc>
          <w:tcPr>
            <w:tcW w:w="2700" w:type="dxa"/>
            <w:shd w:val="clear" w:color="auto" w:fill="F5F5F5"/>
          </w:tcPr>
          <w:p>
            <w:r>
              <w:t xml:space="preserve">C-ECHO test failed</w:t>
            </w:r>
          </w:p>
        </w:tc>
        <w:tc>
          <w:tcPr>
            <w:tcW w:w="6300" w:type="dxa"/>
            <w:shd w:val="clear" w:color="auto" w:fill="F5F5F5"/>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profiles</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transferUncompressed</w:t>
            </w:r>
          </w:p>
        </w:tc>
        <w:tc>
          <w:tcPr>
            <w:tcW w:w="6300" w:type="dxa"/>
            <w:shd w:val="clear" w:color="auto" w:fill="F5F5F5"/>
          </w:tcPr>
          <w:p>
            <w:r>
              <w:t xml:space="preserve">When true, the A-ASSOCIATE negotiation for C-GET and C-MOVE offers only uncompressed transfer syntaxes. Default: false.</w:t>
            </w:r>
          </w:p>
        </w:tc>
      </w:tr>
    </w:tbl>
    <w:p/>
    <w:p>
      <w:r>
        <w:t xml:space="preserve">The Annotations overlay toggle is stored in the application's Fyne preferences (not in settings.json) and persists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and JPEG 2000. If the PACS stores images in JPEG-LS or another compressed format the viewer cannot decode, enable 'Request uncompressed transfer syntax only' in the server profile. The PACS will transcode on the fly if it supports transcoding. If the PACS does not support transcoding, the transfer will fail for those SOP classes; use the external viewer integration instead.</w:t>
      </w:r>
    </w:p>
    <w:p>
      <w:r>
        <w:t xml:space="preserve">IPv4 connectivity — dicomqr listens on an IPv4 socket only. Ensure the address shown in Help &gt; Client info… is the correct IPv4 address on the same network as the PACS.</w:t>
      </w:r>
    </w:p>
    <w:p>
      <w:r>
        <w:br w:type="page"/>
      </w:r>
    </w:p>
    <w:p>
      <w:pPr>
        <w:pStyle w:val="Heading1"/>
      </w:pPr>
      <w:r>
        <w:t>Appendix C  Credits and Acknowledgements</w:t>
      </w:r>
    </w:p>
    <w:p>
      <w:pPr>
        <w:pStyle w:val="Heading2"/>
      </w:pPr>
      <w:r>
        <w:t>Developer</w:t>
      </w:r>
    </w:p>
    <w:p>
      <w:r>
        <w:t xml:space="preserve">Jeffrey Leal</w:t>
      </w:r>
    </w:p>
    <w:p>
      <w:r>
        <w:t xml:space="preserve">Email: jeffrey.leal@gmail.com</w:t>
      </w:r>
    </w:p>
    <w:p>
      <w:r>
        <w:t xml:space="preserve">GitHub: https://github.com/jeffrey-leal</w:t>
      </w:r>
    </w:p>
    <w:p>
      <w:pPr>
        <w:pStyle w:val="Heading2"/>
      </w:pPr>
      <w:r>
        <w:t>AI Assistance</w:t>
      </w:r>
    </w:p>
    <w:p>
      <w:r>
        <w:t xml:space="preserve">This application was designed and developed with the assistance of Claude Sonnet 4.6 by Anthropic, accessed through Claude Code (https://claude.ai/code). Architecture planning, code generation, DICOM standard research, and documentation were produced in collaboration with Claude Code.</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