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v1.9.0</w:t>
      </w:r>
    </w:p>
    <w:p>
      <w:pPr>
        <w:spacing w:before="0" w:after="240"/>
        <w:jc w:val="center"/>
      </w:pPr>
      <w:r>
        <w:rPr>
          <w:color w:val="595959"/>
          <w:sz w:val="24"/>
          <w:szCs w:val="24"/>
        </w:rPr>
        <w:t xml:space="preserve">July 24,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Retrieve.</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Connections.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UI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The bottom bar contains an instance counter (e.g. </w:t>
      </w:r>
      <w:r>
        <w:rPr>
          <w:rFonts w:ascii="Courier New" w:hAnsi="Courier New"/>
          <w:sz w:val="18"/>
          <w:szCs w:val="18"/>
          <w:shd w:val="clear" w:color="auto" w:fill="EBEBEB"/>
        </w:rPr>
        <w:t xml:space="preserve">45 / 120</w:t>
      </w:r>
      <w:r>
        <w:t xml:space="preserve">),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Home or F</w:t>
            </w:r>
          </w:p>
        </w:tc>
        <w:tc>
          <w:tcPr>
            <w:tcW w:w="6300" w:type="dxa"/>
            <w:shd w:val="clear" w:color="auto" w:fill="F5F5F5"/>
          </w:tcPr>
          <w:p>
            <w:r>
              <w:t xml:space="preserve">Reset zoom and pan to fit.</w:t>
            </w:r>
          </w:p>
        </w:tc>
      </w:tr>
      <w:tr>
        <w:tc>
          <w:tcPr>
            <w:tcW w:w="2700" w:type="dxa"/>
          </w:tcPr>
          <w:p>
            <w:r>
              <w:t xml:space="preserve">R</w:t>
            </w:r>
          </w:p>
        </w:tc>
        <w:tc>
          <w:tcPr>
            <w:tcW w:w="6300" w:type="dxa"/>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2000 (lossless and lossy), and uncompressed (native) pixel data. Files stored in JPEG-LS, JPEG Lossless, or RLE Lossless formats cannot be decoded and display a message suggesting Open in Viewer; to view those, either use an external viewer or require an uncompressed transfer syntax in the server profile before retrieving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Thumbnails flow from the top-left, wrapping into as many columns as fit the window, and reflow when the window is resized. Double-click any thumbnail to open that series in the full series viewer.</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Export…</w:t>
            </w:r>
          </w:p>
        </w:tc>
        <w:tc>
          <w:tcPr>
            <w:tcW w:w="6300" w:type="dxa"/>
          </w:tcPr>
          <w:p>
            <w:r>
              <w:t xml:space="preserve">Saves the current results tree to CSV or JSON.</w:t>
            </w:r>
          </w:p>
        </w:tc>
      </w:tr>
      <w:tr>
        <w:tc>
          <w:tcPr>
            <w:tcW w:w="2700" w:type="dxa"/>
            <w:shd w:val="clear" w:color="auto" w:fill="F5F5F5"/>
          </w:tcPr>
          <w:p>
            <w:r>
              <w:t xml:space="preserve">Retrieve Selected</w:t>
            </w:r>
          </w:p>
        </w:tc>
        <w:tc>
          <w:tcPr>
            <w:tcW w:w="6300" w:type="dxa"/>
            <w:shd w:val="clear" w:color="auto" w:fill="F5F5F5"/>
          </w:tcPr>
          <w:p>
            <w:r>
              <w:t xml:space="preserve">Starts retrieval of all currently selected tree nodes.</w:t>
            </w:r>
          </w:p>
        </w:tc>
      </w:tr>
      <w:tr>
        <w:tc>
          <w:tcPr>
            <w:tcW w:w="2700" w:type="dxa"/>
          </w:tcPr>
          <w:p>
            <w:r>
              <w:t xml:space="preserve">Cancel retrieve</w:t>
            </w:r>
          </w:p>
        </w:tc>
        <w:tc>
          <w:tcPr>
            <w:tcW w:w="6300" w:type="dxa"/>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showing the last 500 lines of the DICOM protocol log. Buttons: Refresh (manual update), Copy All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Changes take effect when Apply is clicked and are written immediately to disk.</w:t>
      </w:r>
    </w:p>
    <w:p>
      <w:pPr>
        <w:pStyle w:val="Heading2"/>
      </w:pPr>
      <w:r>
        <w:t>14.1  UI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Theme</w:t>
            </w:r>
          </w:p>
        </w:tc>
        <w:tc>
          <w:tcPr>
            <w:tcW w:w="6300" w:type="dxa"/>
          </w:tcPr>
          <w:p>
            <w:r>
              <w:t xml:space="preserve">Selects the application colour theme: Light or Dark.</w:t>
            </w:r>
          </w:p>
        </w:tc>
      </w:tr>
      <w:tr>
        <w:tc>
          <w:tcPr>
            <w:tcW w:w="2700" w:type="dxa"/>
            <w:shd w:val="clear" w:color="auto" w:fill="F5F5F5"/>
          </w:tcPr>
          <w:p>
            <w:r>
              <w:t xml:space="preserve">Tree font</w:t>
            </w:r>
          </w:p>
        </w:tc>
        <w:tc>
          <w:tcPr>
            <w:tcW w:w="6300" w:type="dxa"/>
            <w:shd w:val="clear" w:color="auto" w:fill="F5F5F5"/>
          </w:tcPr>
          <w:p>
            <w:r>
              <w:t xml:space="preserve">Selects the font used for results tree rows. Select (default) to use the application's built-in font.</w:t>
            </w:r>
          </w:p>
        </w:tc>
      </w:tr>
      <w:tr>
        <w:tc>
          <w:tcPr>
            <w:tcW w:w="2700" w:type="dxa"/>
          </w:tcPr>
          <w:p>
            <w:r>
              <w:t xml:space="preserve">Selection colour</w:t>
            </w:r>
          </w:p>
        </w:tc>
        <w:tc>
          <w:tcPr>
            <w:tcW w:w="6300" w:type="dxa"/>
          </w:tcPr>
          <w:p>
            <w:r>
              <w:t xml:space="preserve">The colour applied to selected rows. Click Choose colour… to open a colour picker. If unset, selected rows follow the theme's primary accent colour.</w:t>
            </w:r>
          </w:p>
        </w:tc>
      </w:tr>
      <w:tr>
        <w:tc>
          <w:tcPr>
            <w:tcW w:w="2700" w:type="dxa"/>
            <w:shd w:val="clear" w:color="auto" w:fill="F5F5F5"/>
          </w:tcPr>
          <w:p>
            <w:r>
              <w:t xml:space="preserve">Selection style</w:t>
            </w:r>
          </w:p>
        </w:tc>
        <w:tc>
          <w:tcPr>
            <w:tcW w:w="6300" w:type="dxa"/>
            <w:shd w:val="clear" w:color="auto" w:fill="F5F5F5"/>
          </w:tcPr>
          <w:p>
            <w:r>
              <w:t xml:space="preserve">The font style applied to selected rows: Bold and/or Italic.</w:t>
            </w:r>
          </w:p>
        </w:tc>
      </w:tr>
    </w:tbl>
    <w:p/>
    <w:p>
      <w:pPr>
        <w:pStyle w:val="Heading2"/>
      </w:pPr>
      <w:r>
        <w:t>14.2  Connections Section</w:t>
      </w:r>
    </w:p>
    <w:p>
      <w:r>
        <w:t xml:space="preserve">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14.3  Retrieve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bl>
    <w:p/>
    <w:p>
      <w:r>
        <w:t xml:space="preserve">Changes to AE Title or SCP port take effect the next time a connection is established.</w:t>
      </w:r>
    </w:p>
    <w:p>
      <w:pPr>
        <w:pStyle w:val="Heading2"/>
      </w:pPr>
      <w:r>
        <w:t>14.4  Image Viewer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v1.9.0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application cannot decode either (e.g. JPEG-LS,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w:t>
      </w:r>
      <w:r>
        <w:rPr>
          <w:rFonts w:ascii="Courier New" w:hAnsi="Courier New"/>
          <w:sz w:val="18"/>
          <w:szCs w:val="18"/>
          <w:shd w:val="clear" w:color="auto" w:fill="EBEBEB"/>
        </w:rPr>
        <w:t xml:space="preserve">retrieveStallTimeoutSec</w:t>
      </w:r>
      <w:r>
        <w:t xml:space="preserve"> in settings.json),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to -1 to disable stall detection.</w:t>
      </w:r>
    </w:p>
    <w:p>
      <w:r>
        <w:br w:type="page"/>
      </w:r>
    </w:p>
    <w:p>
      <w:pPr>
        <w:pStyle w:val="Heading1"/>
      </w:pPr>
      <w:r>
        <w:t>Appendix C  Credits and Acknowledgements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 Architecture planning, code generation, DICOM standard research, and documentation were produced in collaboration with Claude Code.</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