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v1.5.0</w:t>
      </w:r>
    </w:p>
    <w:p>
      <w:pPr>
        <w:spacing w:before="0" w:after="240"/>
        <w:jc w:val="center"/>
      </w:pPr>
      <w:r>
        <w:rPr>
          <w:color w:val="595959"/>
          <w:sz w:val="24"/>
          <w:szCs w:val="24"/>
        </w:rPr>
        <w:t xml:space="preserve">June 18, 2026</w:t>
      </w:r>
    </w:p>
    <w:p>
      <w:pPr>
        <w:spacing w:before="0" w:after="480"/>
        <w:jc w:val="center"/>
      </w:pPr>
      <w:r>
        <w:t xml:space="preserve">A Windows desktop application for querying, retrieving, and managing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retrieving, and managing DICOM medical imaging studies. It communicates with PACS servers using standard DICOM networking services and includes tools for browsing, previewing, importing, routing, and deleting local DICOM files.</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Query a Modality Worklist server independently of the active PACS connection</w:t>
      </w:r>
    </w:p>
    <w:p>
      <w:pPr>
        <w:pStyle w:val="ListBullet"/>
      </w:pPr>
      <w:r>
        <w:t xml:space="preserve">Browse local DICOM files in the download folder; push them to any PACS via C-STORE or delete them</w:t>
      </w:r>
    </w:p>
    <w:p>
      <w:pPr>
        <w:pStyle w:val="ListBullet"/>
      </w:pPr>
      <w:r>
        <w:t xml:space="preserve">Preview DICOM images in the built-in viewer with interactive window/level, zoom and pan, modality-specific W/L presets, colour maps for PET/SPECT, DICOM annotation overlays, and study overview grids; decodes JPEG Baseline, JPEG 2000, and uncompressed pixel data</w:t>
      </w:r>
    </w:p>
    <w:p>
      <w:pPr>
        <w:pStyle w:val="ListBullet"/>
      </w:pPr>
      <w:r>
        <w:t xml:space="preserve">Import DICOM files from external folders into the organised download folder</w:t>
      </w:r>
    </w:p>
    <w:p>
      <w:pPr>
        <w:pStyle w:val="ListBullet"/>
      </w:pPr>
      <w:r>
        <w:t xml:space="preserve">Support for multiple saved server profiles with independent connection and retrieve settings</w:t>
      </w:r>
    </w:p>
    <w:p>
      <w:pPr>
        <w:pStyle w:val="ListBullet"/>
      </w:pPr>
      <w:r>
        <w:t xml:space="preserve">Optionally request uncompressed pixel data transfer per server profile, ensuring the built-in viewer can display all received images regardless of how the PACS stores them</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selection colour, font style, external viewer path, and window size are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Retrieve.</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with an empty results tree and the status bar showing the application version. The window is restored to the size it had when last closed.</w:t>
      </w:r>
    </w:p>
    <w:p>
      <w:pPr>
        <w:pStyle w:val="Heading1"/>
      </w:pPr>
      <w:r>
        <w:t>3  The Main Window</w:t>
      </w:r>
    </w:p>
    <w:p>
      <w:r>
        <w:t xml:space="preserve">The main window is divided into a connection panel at the top, a tab area in the centre, and a status bar at the bottom.</w:t>
      </w:r>
    </w:p>
    <w:p>
      <w:r>
        <w:t xml:space="preserve">Connection panel — the topmost area, visible from all tabs. Left side: server profile selector, Filters button, Search button. Right side: Connect, Disconnect, and Test (C-ECHO) buttons. A second row shows the SCP status indicator.</w:t>
      </w:r>
    </w:p>
    <w:p>
      <w:r>
        <w:t xml:space="preserve">Tab area — four tabs: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Tab</w:t>
            </w:r>
          </w:p>
        </w:tc>
        <w:tc>
          <w:tcPr>
            <w:tcW w:w="6300" w:type="dxa"/>
            <w:shd w:val="clear" w:color="auto" w:fill="2E74B5"/>
          </w:tcPr>
          <w:p>
            <w:r>
              <w:rPr>
                <w:b/>
                <w:color w:val="FFFFFF"/>
                <w:sz w:val="20"/>
                <w:szCs w:val="20"/>
              </w:rPr>
              <w:t xml:space="preserve">Purpose</w:t>
            </w:r>
          </w:p>
        </w:tc>
      </w:tr>
      <w:tr>
        <w:tc>
          <w:tcPr>
            <w:tcW w:w="2700" w:type="dxa"/>
          </w:tcPr>
          <w:p>
            <w:r>
              <w:t xml:space="preserve">PACS Query</w:t>
            </w:r>
          </w:p>
        </w:tc>
        <w:tc>
          <w:tcPr>
            <w:tcW w:w="6300" w:type="dxa"/>
          </w:tcPr>
          <w:p>
            <w:r>
              <w:t xml:space="preserve">Search a remote PACS and retrieve studies.</w:t>
            </w:r>
          </w:p>
        </w:tc>
      </w:tr>
      <w:tr>
        <w:tc>
          <w:tcPr>
            <w:tcW w:w="2700" w:type="dxa"/>
            <w:shd w:val="clear" w:color="auto" w:fill="F5F5F5"/>
          </w:tcPr>
          <w:p>
            <w:r>
              <w:t xml:space="preserve">Worklist</w:t>
            </w:r>
          </w:p>
        </w:tc>
        <w:tc>
          <w:tcPr>
            <w:tcW w:w="6300" w:type="dxa"/>
            <w:shd w:val="clear" w:color="auto" w:fill="F5F5F5"/>
          </w:tcPr>
          <w:p>
            <w:r>
              <w:t xml:space="preserve">Query a Modality Worklist server for scheduled procedures.</w:t>
            </w:r>
          </w:p>
        </w:tc>
      </w:tr>
      <w:tr>
        <w:tc>
          <w:tcPr>
            <w:tcW w:w="2700" w:type="dxa"/>
          </w:tcPr>
          <w:p>
            <w:r>
              <w:t xml:space="preserve">Local Browse</w:t>
            </w:r>
          </w:p>
        </w:tc>
        <w:tc>
          <w:tcPr>
            <w:tcW w:w="6300" w:type="dxa"/>
          </w:tcPr>
          <w:p>
            <w:r>
              <w:t xml:space="preserve">Browse, preview, push, and delete files in the download folder.</w:t>
            </w:r>
          </w:p>
        </w:tc>
      </w:tr>
      <w:tr>
        <w:tc>
          <w:tcPr>
            <w:tcW w:w="2700" w:type="dxa"/>
            <w:shd w:val="clear" w:color="auto" w:fill="F5F5F5"/>
          </w:tcPr>
          <w:p>
            <w:r>
              <w:t xml:space="preserve">Import</w:t>
            </w:r>
          </w:p>
        </w:tc>
        <w:tc>
          <w:tcPr>
            <w:tcW w:w="6300" w:type="dxa"/>
            <w:shd w:val="clear" w:color="auto" w:fill="F5F5F5"/>
          </w:tcPr>
          <w:p>
            <w:r>
              <w:t xml:space="preserve">Copy DICOM files from an external folder into the download folder.</w:t>
            </w:r>
          </w:p>
        </w:tc>
      </w:tr>
    </w:tbl>
    <w:p/>
    <w:p>
      <w:r>
        <w:t xml:space="preserve">Status bar — the bottom strip. A coloured LED indicator precedes the status text. A clock shows the current date and time. A progress bar appears during queries and retrieves.</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Connections.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w:t>
            </w:r>
            <w:r>
              <w:rPr>
                <w:rFonts w:ascii="Courier New" w:hAnsi="Courier New"/>
                <w:sz w:val="18"/>
                <w:szCs w:val="18"/>
                <w:shd w:val="clear" w:color="auto" w:fill="EBEBEB"/>
              </w:rPr>
              <w:t xml:space="preserve">study</w:t>
            </w:r>
            <w:r>
              <w:t xml:space="preserve"> = Study Root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used by some older systems; SERIES-level queries are not available with this model.</w:t>
            </w:r>
          </w:p>
        </w:tc>
      </w:tr>
      <w:tr>
        <w:tc>
          <w:tcPr>
            <w:tcW w:w="2700" w:type="dxa"/>
            <w:shd w:val="clear" w:color="auto" w:fill="F5F5F5"/>
          </w:tcPr>
          <w:p>
            <w:r>
              <w:t xml:space="preserve">Retrieve method</w:t>
            </w:r>
          </w:p>
        </w:tc>
        <w:tc>
          <w:tcPr>
            <w:tcW w:w="6300" w:type="dxa"/>
            <w:shd w:val="clear" w:color="auto" w:fill="F5F5F5"/>
          </w:tcPr>
          <w:p>
            <w:r>
              <w:t xml:space="preserve">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r>
        <w:tc>
          <w:tcPr>
            <w:tcW w:w="2700" w:type="dxa"/>
          </w:tcPr>
          <w:p>
            <w:r>
              <w:t xml:space="preserve">Connect timeout</w:t>
            </w:r>
          </w:p>
        </w:tc>
        <w:tc>
          <w:tcPr>
            <w:tcW w:w="6300" w:type="dxa"/>
          </w:tcPr>
          <w:p>
            <w:r>
              <w:t xml:space="preserve">Seconds to wait for the initial C-ECHO before reporting a failure. Default: 10 s.</w:t>
            </w:r>
          </w:p>
        </w:tc>
      </w:tr>
      <w:tr>
        <w:tc>
          <w:tcPr>
            <w:tcW w:w="2700" w:type="dxa"/>
            <w:shd w:val="clear" w:color="auto" w:fill="F5F5F5"/>
          </w:tcPr>
          <w:p>
            <w:r>
              <w:t xml:space="preserve">Transfer</w:t>
            </w:r>
          </w:p>
        </w:tc>
        <w:tc>
          <w:tcPr>
            <w:tcW w:w="6300" w:type="dxa"/>
            <w:shd w:val="clear" w:color="auto" w:fill="F5F5F5"/>
          </w:tcPr>
          <w:p>
            <w:r>
              <w:t xml:space="preserve">When 'Request uncompressed transfer syntax only' is ticked, dicomqr restricts its A-ASSOCIATE negotiation to Explicit VR Little Endian and Implicit VR Little Endian only. A conformant PACS must transcode compressed pixel data before sending. Useful when the PACS stores data in a format the built-in viewer cannot decode (e.g. JPEG-LS). Leave unticked unless needed — some PACS systems cannot transcode and will fail the transfer.</w:t>
            </w:r>
          </w:p>
        </w:tc>
      </w:tr>
    </w:tbl>
    <w:p/>
    <w:p>
      <w:r>
        <w:t xml:space="preserve">The first profile in the list is selected by default when the application starts.</w:t>
      </w:r>
    </w:p>
    <w:p>
      <w:pPr>
        <w:pStyle w:val="Heading2"/>
      </w:pPr>
      <w:r>
        <w:t>4.2  Connection Indicators</w:t>
      </w:r>
    </w:p>
    <w:p>
      <w:r>
        <w:t xml:space="preserve">The coloured LED to the left of the status bar text shows the connection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Disconnected</w:t>
            </w:r>
          </w:p>
        </w:tc>
      </w:tr>
      <w:tr>
        <w:tc>
          <w:tcPr>
            <w:tcW w:w="2700" w:type="dxa"/>
            <w:shd w:val="clear" w:color="auto" w:fill="F5F5F5"/>
          </w:tcPr>
          <w:p>
            <w:r>
              <w:t xml:space="preserve">Amber</w:t>
            </w:r>
          </w:p>
        </w:tc>
        <w:tc>
          <w:tcPr>
            <w:tcW w:w="6300" w:type="dxa"/>
            <w:shd w:val="clear" w:color="auto" w:fill="F5F5F5"/>
          </w:tcPr>
          <w:p>
            <w:r>
              <w:t xml:space="preserve">Connecting (C-ECHO in progress)</w:t>
            </w:r>
          </w:p>
        </w:tc>
      </w:tr>
      <w:tr>
        <w:tc>
          <w:tcPr>
            <w:tcW w:w="2700" w:type="dxa"/>
          </w:tcPr>
          <w:p>
            <w:r>
              <w:t xml:space="preserve">Green</w:t>
            </w:r>
          </w:p>
        </w:tc>
        <w:tc>
          <w:tcPr>
            <w:tcW w:w="6300" w:type="dxa"/>
          </w:tcPr>
          <w:p>
            <w:r>
              <w:t xml:space="preserve">Connected</w:t>
            </w:r>
          </w:p>
        </w:tc>
      </w:tr>
    </w:tbl>
    <w:p/>
    <w:p>
      <w:r>
        <w:t xml:space="preserve">A second indicator in the connection panel row below the server selector shows the embedded C-STORE SCP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Not running</w:t>
            </w:r>
          </w:p>
        </w:tc>
      </w:tr>
      <w:tr>
        <w:tc>
          <w:tcPr>
            <w:tcW w:w="2700" w:type="dxa"/>
            <w:shd w:val="clear" w:color="auto" w:fill="F5F5F5"/>
          </w:tcPr>
          <w:p>
            <w:r>
              <w:t xml:space="preserve">Green</w:t>
            </w:r>
          </w:p>
        </w:tc>
        <w:tc>
          <w:tcPr>
            <w:tcW w:w="6300" w:type="dxa"/>
            <w:shd w:val="clear" w:color="auto" w:fill="F5F5F5"/>
          </w:tcPr>
          <w:p>
            <w:r>
              <w:t xml:space="preserve">Listening — shows the bound address and local AE Title</w:t>
            </w:r>
          </w:p>
        </w:tc>
      </w:tr>
      <w:tr>
        <w:tc>
          <w:tcPr>
            <w:tcW w:w="2700" w:type="dxa"/>
          </w:tcPr>
          <w:p>
            <w:r>
              <w:t xml:space="preserve">Red</w:t>
            </w:r>
          </w:p>
        </w:tc>
        <w:tc>
          <w:tcPr>
            <w:tcW w:w="6300" w:type="dxa"/>
          </w:tcPr>
          <w:p>
            <w:r>
              <w:t xml:space="preserve">Error — shows the error reason</w:t>
            </w:r>
          </w:p>
        </w:tc>
      </w:tr>
    </w:tbl>
    <w:p/>
    <w:p>
      <w:pPr>
        <w:pStyle w:val="Heading2"/>
      </w:pPr>
      <w:r>
        <w:t>4.3  Connecting</w:t>
      </w:r>
    </w:p>
    <w:p>
      <w:r>
        <w:t xml:space="preserve">Select a server profile from the dropdown in the server row, then click Connect (or select File &gt; Connect). The application sends a C-ECHO to verify basic DICOM connectivity. If the C-ECHO succeeds, dicomqr starts the embedded C-STORE listener and the connection LED turns green.</w:t>
      </w:r>
    </w:p>
    <w:p>
      <w:r>
        <w:t xml:space="preserve">If the C-ECHO fails, the status bar shows a connection error and the application remains disconnected.</w:t>
      </w:r>
    </w:p>
    <w:p>
      <w:r>
        <w:t xml:space="preserve">If the SCP port is already in use — most often because a previous copy of dicomqr was force-closed — a dialog reports "port N is already in use". Close the other instance and click Connect again.</w:t>
      </w:r>
    </w:p>
    <w:p>
      <w:pPr>
        <w:pStyle w:val="Heading2"/>
      </w:pPr>
      <w:r>
        <w:t>4.4  Testing Connectivity</w:t>
      </w:r>
    </w:p>
    <w:p>
      <w:r>
        <w:t xml:space="preserve">Click Test (C-ECHO) at any time while connected to send a C-ECHO to the PACS. The status bar reports success or failure.</w:t>
      </w:r>
    </w:p>
    <w:p>
      <w:pPr>
        <w:pStyle w:val="Heading2"/>
      </w:pPr>
      <w:r>
        <w:t>4.5  Disconnecting</w:t>
      </w:r>
    </w:p>
    <w:p>
      <w:r>
        <w:t xml:space="preserve">Click Disconnect (or select File &gt; Disconnect) to close the session. Any in-progress query is cancelled and the local SCP listener is stopped.</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Search, Clear, and Close buttons. Click Filters ▾ again, or click Close inside the panel, to dismiss it. Values typed in the fields are preserved between open and close cycles.</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and the set of modalities present in the study.</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UI (by default, bold in the theme's primary accent colour — see Section 11.1). Click the same row again to deselect it. Multiple rows at any level (patient, study, or series) may be selected simultaneously.</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2"/>
      </w:pPr>
      <w:r>
        <w:t>6.5  Tooltips</w:t>
      </w:r>
    </w:p>
    <w:p>
      <w:r>
        <w:t xml:space="preserve">Hovering the mouse cursor over a study or series row for approximately 0.6 seconds displays a tooltip showing the Study Instance UID and Accession Number (for study rows) or the Series Instance UID and Modality (for series rows). Moving the cursor off the row dismisses the tooltip immediately.</w:t>
      </w:r>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a study retrieves all of its series in one request; selecting individual series retrieves each independently. A progress bar appears and advances as each study or series is transferred.</w:t>
      </w:r>
    </w:p>
    <w:p>
      <w:pPr>
        <w:pStyle w:val="Heading2"/>
      </w:pPr>
      <w:r>
        <w:t>7.3  Progress</w:t>
      </w:r>
    </w:p>
    <w:p>
      <w:r>
        <w:t xml:space="preserve">The progress bar tracks completion across all selected studies and series, advancing as each study or series finishes. For C-MOVE the bar also advances within a study as individual files arrive; for C-GET it advances once per completed target.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Local Browse Tab</w:t>
      </w:r>
    </w:p>
    <w:p>
      <w:r>
        <w:t xml:space="preserve">The Local Browse tab lets you work with DICOM files already in the download folder — browse the tree, preview images, push to a remote PACS, or delete files — without running a query.</w:t>
      </w:r>
    </w:p>
    <w:p>
      <w:pPr>
        <w:pStyle w:val="Heading2"/>
      </w:pPr>
      <w:r>
        <w:t>8.1  Scanning the Download Folder</w:t>
      </w:r>
    </w:p>
    <w:p>
      <w:r>
        <w:t xml:space="preserve">Click Scan (or the folder icon to open the folder first). dicomqr walks the download directory, parses each </w:t>
      </w:r>
      <w:r>
        <w:rPr>
          <w:rFonts w:ascii="Courier New" w:hAnsi="Courier New"/>
          <w:sz w:val="18"/>
          <w:szCs w:val="18"/>
          <w:shd w:val="clear" w:color="auto" w:fill="EBEBEB"/>
        </w:rPr>
        <w:t xml:space="preserve">.dcm</w:t>
      </w:r>
      <w:r>
        <w:t xml:space="preserve"> file (skipping pixel data for speed), and builds a Patient &gt; Study &gt; Series tree. The status label shows progress and a file count. The folder button opens the download directory in Windows Explorer.</w:t>
      </w:r>
    </w:p>
    <w:p>
      <w:pPr>
        <w:pStyle w:val="Heading2"/>
      </w:pPr>
      <w:r>
        <w:t>8.2  Filtering and Navigation</w:t>
      </w:r>
    </w:p>
    <w:p>
      <w:r>
        <w:t xml:space="preserve">Type in the filter bar to narrow the tree. Expand All, Collapse All, and Clear buttons are provided. The filter acts on the already-loaded tree and does not rescan the disk.</w:t>
      </w:r>
    </w:p>
    <w:p>
      <w:pPr>
        <w:pStyle w:val="Heading2"/>
      </w:pPr>
      <w:r>
        <w:t>8.3  Previewing Images</w:t>
      </w:r>
    </w:p>
    <w:p>
      <w:r>
        <w:t xml:space="preserve">Right-click any node and select Preview Images:</w:t>
      </w:r>
    </w:p>
    <w:p>
      <w:pPr>
        <w:pStyle w:val="ListBullet"/>
      </w:pPr>
      <w:r>
        <w:t xml:space="preserve">Series node — opens the series viewer (see Section 8.3.1).</w:t>
      </w:r>
    </w:p>
    <w:p>
      <w:pPr>
        <w:pStyle w:val="ListBullet"/>
      </w:pPr>
      <w:r>
        <w:t xml:space="preserve">Study node — opens the study overview grid (see Section 8.3.4).</w:t>
      </w:r>
    </w:p>
    <w:p>
      <w:pPr>
        <w:pStyle w:val="ListBullet"/>
      </w:pPr>
      <w:r>
        <w:t xml:space="preserve">Patient node — Preview Images is disabled (too many files to be useful at this level).</w:t>
      </w:r>
    </w:p>
    <w:p>
      <w:pPr>
        <w:pStyle w:val="Heading3"/>
      </w:pPr>
      <w:r>
        <w:t>8.3.1  Series Viewer</w:t>
      </w:r>
    </w:p>
    <w:p>
      <w:r>
        <w:t xml:space="preserve">The series viewer displays one image at a time and opens at the middle slice. It supports interactive window/level, zoom and pan, and slice navigation by mouse or keyboard.</w:t>
      </w:r>
    </w:p>
    <w:p>
      <w:r>
        <w:t xml:space="preserve">The bottom bar contains an instance counter (e.g. </w:t>
      </w:r>
      <w:r>
        <w:rPr>
          <w:rFonts w:ascii="Courier New" w:hAnsi="Courier New"/>
          <w:sz w:val="18"/>
          <w:szCs w:val="18"/>
          <w:shd w:val="clear" w:color="auto" w:fill="EBEBEB"/>
        </w:rPr>
        <w:t xml:space="preserve">45 / 120</w:t>
      </w:r>
      <w:r>
        <w:t xml:space="preserve">), a navigation slider, a Window preset dropdown (see Section 8.3.2), a Colour map dropdown (see Section 8.3.3), an Annotations checkbox (see Section 8.3.5), a Reset button, and an info label showing pixel dimensions and the current W/L values.</w:t>
      </w:r>
    </w:p>
    <w:p>
      <w:r>
        <w:t xml:space="preserve">Mouse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Action</w:t>
            </w:r>
          </w:p>
        </w:tc>
        <w:tc>
          <w:tcPr>
            <w:tcW w:w="6300" w:type="dxa"/>
            <w:shd w:val="clear" w:color="auto" w:fill="2E74B5"/>
          </w:tcPr>
          <w:p>
            <w:r>
              <w:rPr>
                <w:b/>
                <w:color w:val="FFFFFF"/>
                <w:sz w:val="20"/>
                <w:szCs w:val="20"/>
              </w:rPr>
              <w:t xml:space="preserve">Effect</w:t>
            </w:r>
          </w:p>
        </w:tc>
      </w:tr>
      <w:tr>
        <w:tc>
          <w:tcPr>
            <w:tcW w:w="2700" w:type="dxa"/>
          </w:tcPr>
          <w:p>
            <w:r>
              <w:t xml:space="preserve">Left-drag</w:t>
            </w:r>
          </w:p>
        </w:tc>
        <w:tc>
          <w:tcPr>
            <w:tcW w:w="6300" w:type="dxa"/>
          </w:tcPr>
          <w:p>
            <w:r>
              <w:t xml:space="preserve">Adjust window/level — horizontal changes the window width, vertical changes the level (centre). The adjustment is anchored to the point where the drag began.</w:t>
            </w:r>
          </w:p>
        </w:tc>
      </w:tr>
      <w:tr>
        <w:tc>
          <w:tcPr>
            <w:tcW w:w="2700" w:type="dxa"/>
            <w:shd w:val="clear" w:color="auto" w:fill="F5F5F5"/>
          </w:tcPr>
          <w:p>
            <w:r>
              <w:t xml:space="preserve">Right-drag</w:t>
            </w:r>
          </w:p>
        </w:tc>
        <w:tc>
          <w:tcPr>
            <w:tcW w:w="6300" w:type="dxa"/>
            <w:shd w:val="clear" w:color="auto" w:fill="F5F5F5"/>
          </w:tcPr>
          <w:p>
            <w:r>
              <w:t xml:space="preserve">Zoom — drag up to magnify, down to zoom out (up to 16×).</w:t>
            </w:r>
          </w:p>
        </w:tc>
      </w:tr>
      <w:tr>
        <w:tc>
          <w:tcPr>
            <w:tcW w:w="2700" w:type="dxa"/>
          </w:tcPr>
          <w:p>
            <w:r>
              <w:t xml:space="preserve">Middle-drag</w:t>
            </w:r>
          </w:p>
        </w:tc>
        <w:tc>
          <w:tcPr>
            <w:tcW w:w="6300" w:type="dxa"/>
          </w:tcPr>
          <w:p>
            <w:r>
              <w:t xml:space="preserve">Pan the image when zoomed in.</w:t>
            </w:r>
          </w:p>
        </w:tc>
      </w:tr>
      <w:tr>
        <w:tc>
          <w:tcPr>
            <w:tcW w:w="2700" w:type="dxa"/>
            <w:shd w:val="clear" w:color="auto" w:fill="F5F5F5"/>
          </w:tcPr>
          <w:p>
            <w:r>
              <w:t xml:space="preserve">Mouse wheel</w:t>
            </w:r>
          </w:p>
        </w:tc>
        <w:tc>
          <w:tcPr>
            <w:tcW w:w="6300" w:type="dxa"/>
            <w:shd w:val="clear" w:color="auto" w:fill="F5F5F5"/>
          </w:tcPr>
          <w:p>
            <w:r>
              <w:t xml:space="preserve">Step to the previous / next slice in the series.</w:t>
            </w:r>
          </w:p>
        </w:tc>
      </w:tr>
      <w:tr>
        <w:tc>
          <w:tcPr>
            <w:tcW w:w="2700" w:type="dxa"/>
          </w:tcPr>
          <w:p>
            <w:r>
              <w:t xml:space="preserve">Double-click</w:t>
            </w:r>
          </w:p>
        </w:tc>
        <w:tc>
          <w:tcPr>
            <w:tcW w:w="6300" w:type="dxa"/>
          </w:tcPr>
          <w:p>
            <w:r>
              <w:t xml:space="preserve">Reset zoom and pan to fit the window.</w:t>
            </w:r>
          </w:p>
        </w:tc>
      </w:tr>
    </w:tbl>
    <w:p/>
    <w:p>
      <w:r>
        <w:t xml:space="preserve">Keyboard controls (while the viewer window is focused):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Key</w:t>
            </w:r>
          </w:p>
        </w:tc>
        <w:tc>
          <w:tcPr>
            <w:tcW w:w="6300" w:type="dxa"/>
            <w:shd w:val="clear" w:color="auto" w:fill="2E74B5"/>
          </w:tcPr>
          <w:p>
            <w:r>
              <w:rPr>
                <w:b/>
                <w:color w:val="FFFFFF"/>
                <w:sz w:val="20"/>
                <w:szCs w:val="20"/>
              </w:rPr>
              <w:t xml:space="preserve">Effect</w:t>
            </w:r>
          </w:p>
        </w:tc>
      </w:tr>
      <w:tr>
        <w:tc>
          <w:tcPr>
            <w:tcW w:w="2700" w:type="dxa"/>
          </w:tcPr>
          <w:p>
            <w:r>
              <w:t xml:space="preserve">Up / Left / Page Up</w:t>
            </w:r>
          </w:p>
        </w:tc>
        <w:tc>
          <w:tcPr>
            <w:tcW w:w="6300" w:type="dxa"/>
          </w:tcPr>
          <w:p>
            <w:r>
              <w:t xml:space="preserve">Previous slice.</w:t>
            </w:r>
          </w:p>
        </w:tc>
      </w:tr>
      <w:tr>
        <w:tc>
          <w:tcPr>
            <w:tcW w:w="2700" w:type="dxa"/>
            <w:shd w:val="clear" w:color="auto" w:fill="F5F5F5"/>
          </w:tcPr>
          <w:p>
            <w:r>
              <w:t xml:space="preserve">Down / Right / Page Down</w:t>
            </w:r>
          </w:p>
        </w:tc>
        <w:tc>
          <w:tcPr>
            <w:tcW w:w="6300" w:type="dxa"/>
            <w:shd w:val="clear" w:color="auto" w:fill="F5F5F5"/>
          </w:tcPr>
          <w:p>
            <w:r>
              <w:t xml:space="preserve">Next slice.</w:t>
            </w:r>
          </w:p>
        </w:tc>
      </w:tr>
      <w:tr>
        <w:tc>
          <w:tcPr>
            <w:tcW w:w="2700" w:type="dxa"/>
          </w:tcPr>
          <w:p>
            <w:r>
              <w:rPr>
                <w:rFonts w:ascii="Courier New" w:hAnsi="Courier New"/>
                <w:sz w:val="18"/>
                <w:szCs w:val="18"/>
                <w:shd w:val="clear" w:color="auto" w:fill="EBEBEB"/>
              </w:rPr>
              <w:t xml:space="preserve">+</w:t>
            </w:r>
            <w:r>
              <w:t xml:space="preserve"> / </w:t>
            </w:r>
            <w:r>
              <w:rPr>
                <w:rFonts w:ascii="Courier New" w:hAnsi="Courier New"/>
                <w:sz w:val="18"/>
                <w:szCs w:val="18"/>
                <w:shd w:val="clear" w:color="auto" w:fill="EBEBEB"/>
              </w:rPr>
              <w:t xml:space="preserve">-</w:t>
            </w:r>
          </w:p>
        </w:tc>
        <w:tc>
          <w:tcPr>
            <w:tcW w:w="6300" w:type="dxa"/>
          </w:tcPr>
          <w:p>
            <w:r>
              <w:t xml:space="preserve">Zoom in / out.</w:t>
            </w:r>
          </w:p>
        </w:tc>
      </w:tr>
      <w:tr>
        <w:tc>
          <w:tcPr>
            <w:tcW w:w="2700" w:type="dxa"/>
            <w:shd w:val="clear" w:color="auto" w:fill="F5F5F5"/>
          </w:tcPr>
          <w:p>
            <w:r>
              <w:t xml:space="preserve">Home or F</w:t>
            </w:r>
          </w:p>
        </w:tc>
        <w:tc>
          <w:tcPr>
            <w:tcW w:w="6300" w:type="dxa"/>
            <w:shd w:val="clear" w:color="auto" w:fill="F5F5F5"/>
          </w:tcPr>
          <w:p>
            <w:r>
              <w:t xml:space="preserve">Reset zoom and pan to fit.</w:t>
            </w:r>
          </w:p>
        </w:tc>
      </w:tr>
      <w:tr>
        <w:tc>
          <w:tcPr>
            <w:tcW w:w="2700" w:type="dxa"/>
          </w:tcPr>
          <w:p>
            <w:r>
              <w:t xml:space="preserve">R</w:t>
            </w:r>
          </w:p>
        </w:tc>
        <w:tc>
          <w:tcPr>
            <w:tcW w:w="6300" w:type="dxa"/>
          </w:tcPr>
          <w:p>
            <w:r>
              <w:t xml:space="preserve">Reset the window to the default (clears any preset or manual adjustment).</w:t>
            </w:r>
          </w:p>
        </w:tc>
      </w:tr>
    </w:tbl>
    <w:p/>
    <w:p>
      <w:r>
        <w:t xml:space="preserve">The Reset button resets both the view (zoom/pan) and the window to the default. Window/level changes made by dragging or by selecting a preset persist as you scroll through the series.</w:t>
      </w:r>
    </w:p>
    <w:p>
      <w:r>
        <w:t xml:space="preserve">Compressed pixel data — the built-in viewer decodes JPEG Baseline, JPEG 2000 (lossless and lossy), and uncompressed (native) pixel data. Files stored in JPEG-LS, JPEG Lossless, or RLE Lossless formats cannot be decoded and display a message suggesting Open in Viewer; to view those, either use an external viewer or enable 'Request uncompressed transfer syntax only' in the server profile before retrieving (see Section 4.1).</w:t>
      </w:r>
    </w:p>
    <w:p>
      <w:pPr>
        <w:pStyle w:val="Heading3"/>
      </w:pPr>
      <w:r>
        <w:t>8.3.2  Window/Level Presets</w:t>
      </w:r>
    </w:p>
    <w:p>
      <w:r>
        <w:t xml:space="preserve">The Window dropdown in the viewer bottom bar offers preset windows tailored to the image's modality. Selecting a preset applies it to the current slice and to subsequent slices until you adjust the window manually. Default restores the image's own window (from the DICOM Window tags, or an automatic 1st–99th percentile window when absent); Full range maps the entire pixel value range.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Modality</w:t>
            </w:r>
          </w:p>
        </w:tc>
        <w:tc>
          <w:tcPr>
            <w:tcW w:w="6300" w:type="dxa"/>
            <w:shd w:val="clear" w:color="auto" w:fill="2E74B5"/>
          </w:tcPr>
          <w:p>
            <w:r>
              <w:rPr>
                <w:b/>
                <w:color w:val="FFFFFF"/>
                <w:sz w:val="20"/>
                <w:szCs w:val="20"/>
              </w:rPr>
              <w:t xml:space="preserve">Presets offered</w:t>
            </w:r>
          </w:p>
        </w:tc>
      </w:tr>
      <w:tr>
        <w:tc>
          <w:tcPr>
            <w:tcW w:w="2700" w:type="dxa"/>
          </w:tcPr>
          <w:p>
            <w:r>
              <w:t xml:space="preserve">CT</w:t>
            </w:r>
          </w:p>
        </w:tc>
        <w:tc>
          <w:tcPr>
            <w:tcW w:w="6300" w:type="dxa"/>
          </w:tcPr>
          <w:p>
            <w:r>
              <w:t xml:space="preserve">Default, Full range, plus Hounsfield windows: Brain, Subdural, Soft tissue, Liver, Mediastinum, Bone, Lung.</w:t>
            </w:r>
          </w:p>
        </w:tc>
      </w:tr>
      <w:tr>
        <w:tc>
          <w:tcPr>
            <w:tcW w:w="2700" w:type="dxa"/>
            <w:shd w:val="clear" w:color="auto" w:fill="F5F5F5"/>
          </w:tcPr>
          <w:p>
            <w:r>
              <w:t xml:space="preserve">PET (PT)</w:t>
            </w:r>
          </w:p>
        </w:tc>
        <w:tc>
          <w:tcPr>
            <w:tcW w:w="6300" w:type="dxa"/>
            <w:shd w:val="clear" w:color="auto" w:fill="F5F5F5"/>
          </w:tcPr>
          <w:p>
            <w:r>
              <w:t xml:space="preserve">Default, Full range, plus 0 → 75% / 50% / 40% / 30% / 20% windows expressed as a fraction of the peak value (a lower percentage raises contrast in low-uptake regions).</w:t>
            </w:r>
          </w:p>
        </w:tc>
      </w:tr>
      <w:tr>
        <w:tc>
          <w:tcPr>
            <w:tcW w:w="2700" w:type="dxa"/>
          </w:tcPr>
          <w:p>
            <w:r>
              <w:t xml:space="preserve">MR</w:t>
            </w:r>
          </w:p>
        </w:tc>
        <w:tc>
          <w:tcPr>
            <w:tcW w:w="6300" w:type="dxa"/>
          </w:tcPr>
          <w:p>
            <w:r>
              <w:t xml:space="preserve">Default, Full range, plus Lower / Higher / Highest contrast windows scaled relative to the image's own window (MR intensities have no absolute scale).</w:t>
            </w:r>
          </w:p>
        </w:tc>
      </w:tr>
      <w:tr>
        <w:tc>
          <w:tcPr>
            <w:tcW w:w="2700" w:type="dxa"/>
            <w:shd w:val="clear" w:color="auto" w:fill="F5F5F5"/>
          </w:tcPr>
          <w:p>
            <w:r>
              <w:t xml:space="preserve">Other</w:t>
            </w:r>
          </w:p>
        </w:tc>
        <w:tc>
          <w:tcPr>
            <w:tcW w:w="6300" w:type="dxa"/>
            <w:shd w:val="clear" w:color="auto" w:fill="F5F5F5"/>
          </w:tcPr>
          <w:p>
            <w:r>
              <w:t xml:space="preserve">Default, Full range, Lower contrast, Higher contrast.</w:t>
            </w:r>
          </w:p>
        </w:tc>
      </w:tr>
    </w:tbl>
    <w:p/>
    <w:p>
      <w:pPr>
        <w:pStyle w:val="Heading3"/>
      </w:pPr>
      <w:r>
        <w:t>8.3.3  Colour Maps</w:t>
      </w:r>
    </w:p>
    <w:p>
      <w:r>
        <w:t xml:space="preserve">The Colour dropdown in the viewer bottom bar applies a colour lookup table to the windowed image — useful for nuclear-medicine studies (PET and SPECT/NM), which are conventionally read in pseudo-colour rather than grayscale. The colour map is applied on top of the current window/level and persists as you scroll through the series until you change it.</w:t>
      </w:r>
    </w:p>
    <w:p>
      <w:r>
        <w:t xml:space="preserve">For PET (PT) and nuclear-medicine (NM) studies the viewer selects Hot Iron automatically; all other modalities default to Grayscale. The same default colour map is applied to the study overview thumbnails (Section 8.3.4) so the overview matches the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 map</w:t>
            </w:r>
          </w:p>
        </w:tc>
        <w:tc>
          <w:tcPr>
            <w:tcW w:w="6300" w:type="dxa"/>
            <w:shd w:val="clear" w:color="auto" w:fill="2E74B5"/>
          </w:tcPr>
          <w:p>
            <w:r>
              <w:rPr>
                <w:b/>
                <w:color w:val="FFFFFF"/>
                <w:sz w:val="20"/>
                <w:szCs w:val="20"/>
              </w:rPr>
              <w:t xml:space="preserve">Description</w:t>
            </w:r>
          </w:p>
        </w:tc>
      </w:tr>
      <w:tr>
        <w:tc>
          <w:tcPr>
            <w:tcW w:w="2700" w:type="dxa"/>
          </w:tcPr>
          <w:p>
            <w:r>
              <w:t xml:space="preserve">Grayscale</w:t>
            </w:r>
          </w:p>
        </w:tc>
        <w:tc>
          <w:tcPr>
            <w:tcW w:w="6300" w:type="dxa"/>
          </w:tcPr>
          <w:p>
            <w:r>
              <w:t xml:space="preserve">Standard grayscale (default for CT, MR, and most modalities).</w:t>
            </w:r>
          </w:p>
        </w:tc>
      </w:tr>
      <w:tr>
        <w:tc>
          <w:tcPr>
            <w:tcW w:w="2700" w:type="dxa"/>
            <w:shd w:val="clear" w:color="auto" w:fill="F5F5F5"/>
          </w:tcPr>
          <w:p>
            <w:r>
              <w:t xml:space="preserve">Inverse Grayscale</w:t>
            </w:r>
          </w:p>
        </w:tc>
        <w:tc>
          <w:tcPr>
            <w:tcW w:w="6300" w:type="dxa"/>
            <w:shd w:val="clear" w:color="auto" w:fill="F5F5F5"/>
          </w:tcPr>
          <w:p>
            <w:r>
              <w:t xml:space="preserve">Grayscale with the intensity ramp inverted.</w:t>
            </w:r>
          </w:p>
        </w:tc>
      </w:tr>
      <w:tr>
        <w:tc>
          <w:tcPr>
            <w:tcW w:w="2700" w:type="dxa"/>
          </w:tcPr>
          <w:p>
            <w:r>
              <w:t xml:space="preserve">Hot Iron</w:t>
            </w:r>
          </w:p>
        </w:tc>
        <w:tc>
          <w:tcPr>
            <w:tcW w:w="6300" w:type="dxa"/>
          </w:tcPr>
          <w:p>
            <w:r>
              <w:t xml:space="preserve">Black → red → yellow → white. Default for PET/NM.</w:t>
            </w:r>
          </w:p>
        </w:tc>
      </w:tr>
      <w:tr>
        <w:tc>
          <w:tcPr>
            <w:tcW w:w="2700" w:type="dxa"/>
            <w:shd w:val="clear" w:color="auto" w:fill="F5F5F5"/>
          </w:tcPr>
          <w:p>
            <w:r>
              <w:t xml:space="preserve">PET</w:t>
            </w:r>
          </w:p>
        </w:tc>
        <w:tc>
          <w:tcPr>
            <w:tcW w:w="6300" w:type="dxa"/>
            <w:shd w:val="clear" w:color="auto" w:fill="F5F5F5"/>
          </w:tcPr>
          <w:p>
            <w:r>
              <w:t xml:space="preserve">Black → blue → purple → red → orange → yellow → white.</w:t>
            </w:r>
          </w:p>
        </w:tc>
      </w:tr>
      <w:tr>
        <w:tc>
          <w:tcPr>
            <w:tcW w:w="2700" w:type="dxa"/>
          </w:tcPr>
          <w:p>
            <w:r>
              <w:t xml:space="preserve">Hot Metal Blue</w:t>
            </w:r>
          </w:p>
        </w:tc>
        <w:tc>
          <w:tcPr>
            <w:tcW w:w="6300" w:type="dxa"/>
          </w:tcPr>
          <w:p>
            <w:r>
              <w:t xml:space="preserve">Like PET but with blue rising earlier (cool shadows, hot highlights).</w:t>
            </w:r>
          </w:p>
        </w:tc>
      </w:tr>
      <w:tr>
        <w:tc>
          <w:tcPr>
            <w:tcW w:w="2700" w:type="dxa"/>
            <w:shd w:val="clear" w:color="auto" w:fill="F5F5F5"/>
          </w:tcPr>
          <w:p>
            <w:r>
              <w:t xml:space="preserve">PET 20 Step</w:t>
            </w:r>
          </w:p>
        </w:tc>
        <w:tc>
          <w:tcPr>
            <w:tcW w:w="6300" w:type="dxa"/>
            <w:shd w:val="clear" w:color="auto" w:fill="F5F5F5"/>
          </w:tcPr>
          <w:p>
            <w:r>
              <w:t xml:space="preserve">The PET palette quantised into 20 discrete colour bands.</w:t>
            </w:r>
          </w:p>
        </w:tc>
      </w:tr>
    </w:tbl>
    <w:p/>
    <w:p>
      <w:r>
        <w:t xml:space="preserve">Colour maps apply only to grayscale (monochrome) images; for images already stored in colour the dropdown is disabled. The maps are faithful renditions of the DICOM standard palettes intended for display and triage.</w:t>
      </w:r>
    </w:p>
    <w:p>
      <w:pPr>
        <w:pStyle w:val="Heading3"/>
      </w:pPr>
      <w:r>
        <w:t>8.3.4  Study Overview Grid</w:t>
      </w:r>
    </w:p>
    <w:p>
      <w:r>
        <w:t xml:space="preserve">The overview window shows one thumbnail per series — the middle slice of each series rendered in parallel. Thumbnails are arranged in a three-column grid. Double-click any thumbnail to open that series in the full series viewer.</w:t>
      </w:r>
    </w:p>
    <w:p>
      <w:pPr>
        <w:pStyle w:val="Heading3"/>
      </w:pPr>
      <w:r>
        <w:t>8.3.5  DICOM Annotation Overlay</w:t>
      </w:r>
    </w:p>
    <w:p>
      <w:r>
        <w:t xml:space="preserve">When Annotations is checked in the series viewer, a four-corner overlay is drawn within the actual image area (never in the letterbox bars):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Corner</w:t>
            </w:r>
          </w:p>
        </w:tc>
        <w:tc>
          <w:tcPr>
            <w:tcW w:w="6300" w:type="dxa"/>
            <w:shd w:val="clear" w:color="auto" w:fill="2E74B5"/>
          </w:tcPr>
          <w:p>
            <w:r>
              <w:rPr>
                <w:b/>
                <w:color w:val="FFFFFF"/>
                <w:sz w:val="20"/>
                <w:szCs w:val="20"/>
              </w:rPr>
              <w:t xml:space="preserve">Content</w:t>
            </w:r>
          </w:p>
        </w:tc>
      </w:tr>
      <w:tr>
        <w:tc>
          <w:tcPr>
            <w:tcW w:w="2700" w:type="dxa"/>
          </w:tcPr>
          <w:p>
            <w:r>
              <w:t xml:space="preserve">Top-left</w:t>
            </w:r>
          </w:p>
        </w:tc>
        <w:tc>
          <w:tcPr>
            <w:tcW w:w="6300" w:type="dxa"/>
          </w:tcPr>
          <w:p>
            <w:r>
              <w:t xml:space="preserve">Patient name, MRN, date of birth, sex and age</w:t>
            </w:r>
          </w:p>
        </w:tc>
      </w:tr>
      <w:tr>
        <w:tc>
          <w:tcPr>
            <w:tcW w:w="2700" w:type="dxa"/>
            <w:shd w:val="clear" w:color="auto" w:fill="F5F5F5"/>
          </w:tcPr>
          <w:p>
            <w:r>
              <w:t xml:space="preserve">Top-right (right-aligned)</w:t>
            </w:r>
          </w:p>
        </w:tc>
        <w:tc>
          <w:tcPr>
            <w:tcW w:w="6300" w:type="dxa"/>
            <w:shd w:val="clear" w:color="auto" w:fill="F5F5F5"/>
          </w:tcPr>
          <w:p>
            <w:r>
              <w:t xml:space="preserve">Institution, study date/time, accession number, study description, referring physician</w:t>
            </w:r>
          </w:p>
        </w:tc>
      </w:tr>
      <w:tr>
        <w:tc>
          <w:tcPr>
            <w:tcW w:w="2700" w:type="dxa"/>
          </w:tcPr>
          <w:p>
            <w:r>
              <w:t xml:space="preserve">Bottom-left</w:t>
            </w:r>
          </w:p>
        </w:tc>
        <w:tc>
          <w:tcPr>
            <w:tcW w:w="6300" w:type="dxa"/>
          </w:tcPr>
          <w:p>
            <w:r>
              <w:t xml:space="preserve">Modality, series number and description, slice thickness, protocol</w:t>
            </w:r>
          </w:p>
        </w:tc>
      </w:tr>
      <w:tr>
        <w:tc>
          <w:tcPr>
            <w:tcW w:w="2700" w:type="dxa"/>
            <w:shd w:val="clear" w:color="auto" w:fill="F5F5F5"/>
          </w:tcPr>
          <w:p>
            <w:r>
              <w:t xml:space="preserve">Bottom-right (right-aligned)</w:t>
            </w:r>
          </w:p>
        </w:tc>
        <w:tc>
          <w:tcPr>
            <w:tcW w:w="6300" w:type="dxa"/>
            <w:shd w:val="clear" w:color="auto" w:fill="F5F5F5"/>
          </w:tcPr>
          <w:p>
            <w:r>
              <w:t xml:space="preserve">Instance number / total, slice location, pixel spacing, W/L values</w:t>
            </w:r>
          </w:p>
        </w:tc>
      </w:tr>
    </w:tbl>
    <w:p/>
    <w:p>
      <w:r>
        <w:t xml:space="preserve">Anatomical orientation markers (R/L, A/P, H/F) are centred on the four image edges and derived from the ImageOrientationPatient direction cosines in DICOM LPS patient coordinates.</w:t>
      </w:r>
    </w:p>
    <w:p>
      <w:r>
        <w:t xml:space="preserve">The Annotations checkbox state persists between sessions.</w:t>
      </w:r>
    </w:p>
    <w:p>
      <w:pPr>
        <w:pStyle w:val="Heading2"/>
      </w:pPr>
      <w:r>
        <w:t>8.4  Opening in External Viewer</w:t>
      </w:r>
    </w:p>
    <w:p>
      <w:r>
        <w:t xml:space="preserve">The Open in Viewer button in the bottom bar and the right-click menu item open the node's folder in the configured external DICOM viewer. These controls are disabled when no viewer path is configured in Preferences. Open folder opens the folder in Windows Explorer instead.</w:t>
      </w:r>
    </w:p>
    <w:p>
      <w:pPr>
        <w:pStyle w:val="Heading2"/>
      </w:pPr>
      <w:r>
        <w:t>8.5  Pushing to a PACS</w:t>
      </w:r>
    </w:p>
    <w:p>
      <w:r>
        <w:t xml:space="preserve">Right-click any node and select Push to PACS…, or select items and click Push Selected…, to send files to a remote PACS via C-STORE SCU.</w:t>
      </w:r>
    </w:p>
    <w:p>
      <w:r>
        <w:t xml:space="preserve">A dialog appears with a destination selector (any configured server profile), a progress bar and per-file counter, and a Cancel button. The push creates a new association per operation and does not require the PACS tab to be connected.</w:t>
      </w:r>
    </w:p>
    <w:p>
      <w:pPr>
        <w:pStyle w:val="Heading2"/>
      </w:pPr>
      <w:r>
        <w:t>8.6  Deleting Local Files</w:t>
      </w:r>
    </w:p>
    <w:p>
      <w:r>
        <w:t xml:space="preserve">Right-click any node and select Delete…, or select items and click Delete Selected…, to permanently remove files from disk. A confirmation dialog shows the file count and total size. After deletion, empty directories are pruned and the tree is rescanned automatically.</w:t>
      </w:r>
    </w:p>
    <w:p>
      <w:r>
        <w:t xml:space="preserve">Warning: Deletion is permanent. Files are not moved to the Recycle Bin.</w:t>
      </w:r>
    </w:p>
    <w:p>
      <w:pPr>
        <w:pStyle w:val="Heading2"/>
      </w:pPr>
      <w:r>
        <w:t>8.7  Selection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Action</w:t>
            </w:r>
          </w:p>
        </w:tc>
      </w:tr>
      <w:tr>
        <w:tc>
          <w:tcPr>
            <w:tcW w:w="2700" w:type="dxa"/>
          </w:tcPr>
          <w:p>
            <w:r>
              <w:t xml:space="preserve">Select All</w:t>
            </w:r>
          </w:p>
        </w:tc>
        <w:tc>
          <w:tcPr>
            <w:tcW w:w="6300" w:type="dxa"/>
          </w:tcPr>
          <w:p>
            <w:r>
              <w:t xml:space="preserve">Selects every currently visible (filtered) root node and all its descendants.</w:t>
            </w:r>
          </w:p>
        </w:tc>
      </w:tr>
      <w:tr>
        <w:tc>
          <w:tcPr>
            <w:tcW w:w="2700" w:type="dxa"/>
            <w:shd w:val="clear" w:color="auto" w:fill="F5F5F5"/>
          </w:tcPr>
          <w:p>
            <w:r>
              <w:t xml:space="preserve">Clear Selection</w:t>
            </w:r>
          </w:p>
        </w:tc>
        <w:tc>
          <w:tcPr>
            <w:tcW w:w="6300" w:type="dxa"/>
            <w:shd w:val="clear" w:color="auto" w:fill="F5F5F5"/>
          </w:tcPr>
          <w:p>
            <w:r>
              <w:t xml:space="preserve">Deselects everything.</w:t>
            </w:r>
          </w:p>
        </w:tc>
      </w:tr>
      <w:tr>
        <w:tc>
          <w:tcPr>
            <w:tcW w:w="2700" w:type="dxa"/>
          </w:tcPr>
          <w:p>
            <w:r>
              <w:t xml:space="preserve">Push Selected…</w:t>
            </w:r>
          </w:p>
        </w:tc>
        <w:tc>
          <w:tcPr>
            <w:tcW w:w="6300" w:type="dxa"/>
          </w:tcPr>
          <w:p>
            <w:r>
              <w:t xml:space="preserve">Pushes all selected files to a chosen server.</w:t>
            </w:r>
          </w:p>
        </w:tc>
      </w:tr>
      <w:tr>
        <w:tc>
          <w:tcPr>
            <w:tcW w:w="2700" w:type="dxa"/>
            <w:shd w:val="clear" w:color="auto" w:fill="F5F5F5"/>
          </w:tcPr>
          <w:p>
            <w:r>
              <w:t xml:space="preserve">Delete Selected…</w:t>
            </w:r>
          </w:p>
        </w:tc>
        <w:tc>
          <w:tcPr>
            <w:tcW w:w="6300" w:type="dxa"/>
            <w:shd w:val="clear" w:color="auto" w:fill="F5F5F5"/>
          </w:tcPr>
          <w:p>
            <w:r>
              <w:t xml:space="preserve">Deletes all selected files after confirmation.</w:t>
            </w:r>
          </w:p>
        </w:tc>
      </w:tr>
    </w:tbl>
    <w:p/>
    <w:p>
      <w:pPr>
        <w:pStyle w:val="Heading1"/>
      </w:pPr>
      <w:r>
        <w:t>9  Import Tab</w:t>
      </w:r>
    </w:p>
    <w:p>
      <w:r>
        <w:t xml:space="preserve">The Import tab copies DICOM files from any folder into the organised download folder, applying the same Patient / Study / Series subfolder structure used by retrieval.</w:t>
      </w:r>
    </w:p>
    <w:p>
      <w:pPr>
        <w:pStyle w:val="Heading2"/>
      </w:pPr>
      <w:r>
        <w:t>9.1  Scanning a Source Folder</w:t>
      </w:r>
    </w:p>
    <w:p>
      <w:r>
        <w:t xml:space="preserve">Enter or browse to a source folder and click Scan. dicomqr walks the folder and builds a tree of studies and series found in it. The destination folder (the configured download folder) is shown read-only below the source field.</w:t>
      </w:r>
    </w:p>
    <w:p>
      <w:pPr>
        <w:pStyle w:val="Heading2"/>
      </w:pPr>
      <w:r>
        <w:t>9.2  Selecting and Importing</w:t>
      </w:r>
    </w:p>
    <w:p>
      <w:r>
        <w:t xml:space="preserve">Click rows in the tree to select them. Click Import Selected to copy the selected files. Files already present in the destination (same SOP Instance UID at the same destination path) are skipped; the status label reports imported, already-present, and failed counts.</w:t>
      </w:r>
    </w:p>
    <w:p>
      <w:r>
        <w:t xml:space="preserve">Select All and Clear Selection buttons are provided. The filter bar narrows the tree in the same way as the other tabs.</w:t>
      </w:r>
    </w:p>
    <w:p>
      <w:pPr>
        <w:pStyle w:val="Heading1"/>
      </w:pPr>
      <w:r>
        <w:t>10  Worklist Tab</w:t>
      </w:r>
    </w:p>
    <w:p>
      <w:r>
        <w:t xml:space="preserve">The Worklist tab queries a Modality Worklist server for scheduled imaging procedures. It operates independently of the PACS Query tab — it does not require a PACS connection and can target a different server (typically a RIS or MWL broker).</w:t>
      </w:r>
    </w:p>
    <w:p>
      <w:pPr>
        <w:pStyle w:val="Heading2"/>
      </w:pPr>
      <w:r>
        <w:t>10.1  Selecting a Worklist Server</w:t>
      </w:r>
    </w:p>
    <w:p>
      <w:r>
        <w:t xml:space="preserve">Choose any configured server profile from the Worklist server dropdown. The dropdown updates when server profiles are added or removed in Preferences. The query connects to the selected profile's host, port, and AE Title for each query and releases the association immediately after.</w:t>
      </w:r>
    </w:p>
    <w:p>
      <w:r>
        <w:t xml:space="preserve">Note: the Modality Worklist SOP class (1.2.840.10008.5.1.4.31) must be enabled on the target server. In most environments this is a separate system from the PACS — configure a server profile pointing to that system.</w:t>
      </w:r>
    </w:p>
    <w:p>
      <w:pPr>
        <w:pStyle w:val="Heading2"/>
      </w:pPr>
      <w:r>
        <w:t>10.2  Query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Wildcard-capable patient name match. A trailing </w:t>
            </w:r>
            <w:r>
              <w:rPr>
                <w:rFonts w:ascii="Courier New" w:hAnsi="Courier New"/>
                <w:sz w:val="18"/>
                <w:szCs w:val="18"/>
                <w:shd w:val="clear" w:color="auto" w:fill="EBEBEB"/>
              </w:rPr>
              <w:t xml:space="preserve">*</w:t>
            </w:r>
            <w:r>
              <w:t xml:space="preserve"> is appended automatically. Leave blank to match all patients.</w:t>
            </w:r>
          </w:p>
        </w:tc>
      </w:tr>
      <w:tr>
        <w:tc>
          <w:tcPr>
            <w:tcW w:w="2700" w:type="dxa"/>
            <w:shd w:val="clear" w:color="auto" w:fill="F5F5F5"/>
          </w:tcPr>
          <w:p>
            <w:r>
              <w:t xml:space="preserve">MRN</w:t>
            </w:r>
          </w:p>
        </w:tc>
        <w:tc>
          <w:tcPr>
            <w:tcW w:w="6300" w:type="dxa"/>
            <w:shd w:val="clear" w:color="auto" w:fill="F5F5F5"/>
          </w:tcPr>
          <w:p>
            <w:r>
              <w:t xml:space="preserve">Wildcard-capable Patient ID match.</w:t>
            </w:r>
          </w:p>
        </w:tc>
      </w:tr>
      <w:tr>
        <w:tc>
          <w:tcPr>
            <w:tcW w:w="2700" w:type="dxa"/>
          </w:tcPr>
          <w:p>
            <w:r>
              <w:t xml:space="preserve">Accession</w:t>
            </w:r>
          </w:p>
        </w:tc>
        <w:tc>
          <w:tcPr>
            <w:tcW w:w="6300" w:type="dxa"/>
          </w:tcPr>
          <w:p>
            <w:r>
              <w:t xml:space="preserve">Wildcard-capable Accession Number match.</w:t>
            </w:r>
          </w:p>
        </w:tc>
      </w:tr>
      <w:tr>
        <w:tc>
          <w:tcPr>
            <w:tcW w:w="2700" w:type="dxa"/>
            <w:shd w:val="clear" w:color="auto" w:fill="F5F5F5"/>
          </w:tcPr>
          <w:p>
            <w:r>
              <w:t xml:space="preserve">Modality</w:t>
            </w:r>
          </w:p>
        </w:tc>
        <w:tc>
          <w:tcPr>
            <w:tcW w:w="6300" w:type="dxa"/>
            <w:shd w:val="clear" w:color="auto" w:fill="F5F5F5"/>
          </w:tcPr>
          <w:p>
            <w:r>
              <w:t xml:space="preserve">Restricts results to one modality. Select (any) to include all modalities.</w:t>
            </w:r>
          </w:p>
        </w:tc>
      </w:tr>
      <w:tr>
        <w:tc>
          <w:tcPr>
            <w:tcW w:w="2700" w:type="dxa"/>
          </w:tcPr>
          <w:p>
            <w:r>
              <w:t xml:space="preserve">Scheduled date</w:t>
            </w:r>
          </w:p>
        </w:tc>
        <w:tc>
          <w:tcPr>
            <w:tcW w:w="6300" w:type="dxa"/>
          </w:tcPr>
          <w:p>
            <w:r>
              <w:t xml:space="preserve">Today only (checked by default) — restricts to today's scheduled date. Uncheck to select a specific date using the calendar picker. Leave blank (unchecked, no date selected) to return all scheduled dates.</w:t>
            </w:r>
          </w:p>
        </w:tc>
      </w:tr>
    </w:tbl>
    <w:p/>
    <w:p>
      <w:r>
        <w:t xml:space="preserve">Click Query Worklist or press Enter in any text field to run the query. Click Clear to reset all fields and clear the results.</w:t>
      </w:r>
    </w:p>
    <w:p>
      <w:pPr>
        <w:pStyle w:val="Heading2"/>
      </w:pPr>
      <w:r>
        <w:t>10.3  Results Table</w:t>
      </w:r>
    </w:p>
    <w:p>
      <w:r>
        <w:t xml:space="preserve">Results are shown in a table with columns: Patient, MRN, Accession, Date, Time, Modality, Procedure, and Station. Click any row to select it.</w:t>
      </w:r>
    </w:p>
    <w:p>
      <w:r>
        <w:t xml:space="preserve">Copy Accession and Copy Patient buttons copy the selected row's values to the clipboard. The status label shows the number of worklist items returned, or any error message.</w:t>
      </w:r>
    </w:p>
    <w:p>
      <w:pPr>
        <w:pStyle w:val="Heading2"/>
      </w:pPr>
      <w:r>
        <w:t>10.4  Typical Use Cases</w:t>
      </w:r>
    </w:p>
    <w:p>
      <w:pPr>
        <w:pStyle w:val="ListBullet"/>
      </w:pPr>
      <w:r>
        <w:t xml:space="preserve">Verify a scheduled procedure — query by patient name or accession to confirm an order reached the worklist server before the patient arrives at the scanner.</w:t>
      </w:r>
    </w:p>
    <w:p>
      <w:pPr>
        <w:pStyle w:val="ListBullet"/>
      </w:pPr>
      <w:r>
        <w:t xml:space="preserve">Diagnose "patient not on scanner" — if a technologist cannot find a patient on the modality's worklist, query here; if the entry appears, the problem is in the scanner's MWL configuration; if it does not, the order was not transmitted to the worklist server.</w:t>
      </w:r>
    </w:p>
    <w:p>
      <w:pPr>
        <w:pStyle w:val="ListBullet"/>
      </w:pPr>
      <w:r>
        <w:t xml:space="preserve">Look up an accession number — copy the accession and switch to PACS Query to search for the matching study.</w:t>
      </w:r>
    </w:p>
    <w:p>
      <w:pPr>
        <w:pStyle w:val="Heading1"/>
      </w:pPr>
      <w:r>
        <w:t>11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12  Menus</w:t>
      </w:r>
    </w:p>
    <w:p>
      <w:pPr>
        <w:pStyle w:val="Heading2"/>
      </w:pPr>
      <w:r>
        <w:t>12.1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w:t>
            </w:r>
          </w:p>
        </w:tc>
      </w:tr>
      <w:tr>
        <w:tc>
          <w:tcPr>
            <w:tcW w:w="2700" w:type="dxa"/>
            <w:shd w:val="clear" w:color="auto" w:fill="F5F5F5"/>
          </w:tcPr>
          <w:p>
            <w:r>
              <w:t xml:space="preserve">Disconnect</w:t>
            </w:r>
          </w:p>
        </w:tc>
        <w:tc>
          <w:tcPr>
            <w:tcW w:w="6300" w:type="dxa"/>
            <w:shd w:val="clear" w:color="auto" w:fill="F5F5F5"/>
          </w:tcPr>
          <w:p>
            <w:r>
              <w:t xml:space="preserve">Ends the current session and stops the local SCP listener.</w:t>
            </w:r>
          </w:p>
        </w:tc>
      </w:tr>
      <w:tr>
        <w:tc>
          <w:tcPr>
            <w:tcW w:w="2700" w:type="dxa"/>
          </w:tcPr>
          <w:p>
            <w:r>
              <w:t xml:space="preserve">Preferences…</w:t>
            </w:r>
          </w:p>
        </w:tc>
        <w:tc>
          <w:tcPr>
            <w:tcW w:w="6300" w:type="dxa"/>
          </w:tcPr>
          <w:p>
            <w:r>
              <w:t xml:space="preserve">Opens the Preferences dialog. See Section 14.</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12.2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Export…</w:t>
            </w:r>
          </w:p>
        </w:tc>
        <w:tc>
          <w:tcPr>
            <w:tcW w:w="6300" w:type="dxa"/>
          </w:tcPr>
          <w:p>
            <w:r>
              <w:t xml:space="preserve">Saves the current results tree to CSV or JSON.</w:t>
            </w:r>
          </w:p>
        </w:tc>
      </w:tr>
      <w:tr>
        <w:tc>
          <w:tcPr>
            <w:tcW w:w="2700" w:type="dxa"/>
            <w:shd w:val="clear" w:color="auto" w:fill="F5F5F5"/>
          </w:tcPr>
          <w:p>
            <w:r>
              <w:t xml:space="preserve">Retrieve Selected</w:t>
            </w:r>
          </w:p>
        </w:tc>
        <w:tc>
          <w:tcPr>
            <w:tcW w:w="6300" w:type="dxa"/>
            <w:shd w:val="clear" w:color="auto" w:fill="F5F5F5"/>
          </w:tcPr>
          <w:p>
            <w:r>
              <w:t xml:space="preserve">Starts retrieval of all currently selected tree nodes.</w:t>
            </w:r>
          </w:p>
        </w:tc>
      </w:tr>
      <w:tr>
        <w:tc>
          <w:tcPr>
            <w:tcW w:w="2700" w:type="dxa"/>
          </w:tcPr>
          <w:p>
            <w:r>
              <w:t xml:space="preserve">Cancel retrieve</w:t>
            </w:r>
          </w:p>
        </w:tc>
        <w:tc>
          <w:tcPr>
            <w:tcW w:w="6300" w:type="dxa"/>
          </w:tcPr>
          <w:p>
            <w:r>
              <w:t xml:space="preserve">Cancels an in-progress retrieval.</w:t>
            </w:r>
          </w:p>
        </w:tc>
      </w:tr>
    </w:tbl>
    <w:p/>
    <w:p>
      <w:pPr>
        <w:pStyle w:val="Heading2"/>
      </w:pPr>
      <w:r>
        <w:t>12.3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Activity Log…</w:t>
            </w:r>
          </w:p>
        </w:tc>
        <w:tc>
          <w:tcPr>
            <w:tcW w:w="6300" w:type="dxa"/>
          </w:tcPr>
          <w:p>
            <w:r>
              <w:t xml:space="preserve">Opens the in-app activity log showing the last 500 lines of the DICOM protocol log. Buttons: Refresh (manual update), Copy All (clipboard), Clear. The log auto-refreshes once per second while the dialog is open.</w:t>
            </w:r>
          </w:p>
        </w:tc>
      </w:tr>
      <w:tr>
        <w:tc>
          <w:tcPr>
            <w:tcW w:w="2700" w:type="dxa"/>
            <w:shd w:val="clear" w:color="auto" w:fill="F5F5F5"/>
          </w:tcPr>
          <w:p>
            <w:r>
              <w:t xml:space="preserve">About</w:t>
            </w:r>
          </w:p>
        </w:tc>
        <w:tc>
          <w:tcPr>
            <w:tcW w:w="6300" w:type="dxa"/>
            <w:shd w:val="clear" w:color="auto" w:fill="F5F5F5"/>
          </w:tcPr>
          <w:p>
            <w:r>
              <w:t xml:space="preserve">Displays the application version, build date, and library credits.</w:t>
            </w:r>
          </w:p>
        </w:tc>
      </w:tr>
      <w:tr>
        <w:tc>
          <w:tcPr>
            <w:tcW w:w="2700" w:type="dxa"/>
          </w:tcPr>
          <w:p>
            <w:r>
              <w:t xml:space="preserve">Client info…</w:t>
            </w:r>
          </w:p>
        </w:tc>
        <w:tc>
          <w:tcPr>
            <w:tcW w:w="6300" w:type="dxa"/>
          </w:tcPr>
          <w:p>
            <w:r>
              <w:t xml:space="preserve">Displays the local AE Title, SCP port, and detected IP address.</w:t>
            </w:r>
          </w:p>
        </w:tc>
      </w:tr>
    </w:tbl>
    <w:p/>
    <w:p>
      <w:pPr>
        <w:pStyle w:val="Heading1"/>
      </w:pPr>
      <w:r>
        <w:t>13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pPr>
        <w:pStyle w:val="Heading1"/>
      </w:pPr>
      <w:r>
        <w:t>14  Preferences</w:t>
      </w:r>
    </w:p>
    <w:p>
      <w:r>
        <w:t xml:space="preserve">Open the Preferences dialog from File &gt; Preferences…. Changes take effect when Apply is clicked and are written immediately to disk.</w:t>
      </w:r>
    </w:p>
    <w:p>
      <w:pPr>
        <w:pStyle w:val="Heading2"/>
      </w:pPr>
      <w:r>
        <w:t>14.1  UI Section</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Theme</w:t>
            </w:r>
          </w:p>
        </w:tc>
        <w:tc>
          <w:tcPr>
            <w:tcW w:w="6300" w:type="dxa"/>
          </w:tcPr>
          <w:p>
            <w:r>
              <w:t xml:space="preserve">Selects the application colour theme: Light or Dark.</w:t>
            </w:r>
          </w:p>
        </w:tc>
      </w:tr>
      <w:tr>
        <w:tc>
          <w:tcPr>
            <w:tcW w:w="2700" w:type="dxa"/>
            <w:shd w:val="clear" w:color="auto" w:fill="F5F5F5"/>
          </w:tcPr>
          <w:p>
            <w:r>
              <w:t xml:space="preserve">Tree font</w:t>
            </w:r>
          </w:p>
        </w:tc>
        <w:tc>
          <w:tcPr>
            <w:tcW w:w="6300" w:type="dxa"/>
            <w:shd w:val="clear" w:color="auto" w:fill="F5F5F5"/>
          </w:tcPr>
          <w:p>
            <w:r>
              <w:t xml:space="preserve">Selects the font used for results tree rows. Select (default) to use the application's built-in font.</w:t>
            </w:r>
          </w:p>
        </w:tc>
      </w:tr>
      <w:tr>
        <w:tc>
          <w:tcPr>
            <w:tcW w:w="2700" w:type="dxa"/>
          </w:tcPr>
          <w:p>
            <w:r>
              <w:t xml:space="preserve">Selection colour</w:t>
            </w:r>
          </w:p>
        </w:tc>
        <w:tc>
          <w:tcPr>
            <w:tcW w:w="6300" w:type="dxa"/>
          </w:tcPr>
          <w:p>
            <w:r>
              <w:t xml:space="preserve">The colour applied to selected rows. Click Choose colour… to open a colour picker. If unset, selected rows follow the theme's primary accent colour.</w:t>
            </w:r>
          </w:p>
        </w:tc>
      </w:tr>
      <w:tr>
        <w:tc>
          <w:tcPr>
            <w:tcW w:w="2700" w:type="dxa"/>
            <w:shd w:val="clear" w:color="auto" w:fill="F5F5F5"/>
          </w:tcPr>
          <w:p>
            <w:r>
              <w:t xml:space="preserve">Selection style</w:t>
            </w:r>
          </w:p>
        </w:tc>
        <w:tc>
          <w:tcPr>
            <w:tcW w:w="6300" w:type="dxa"/>
            <w:shd w:val="clear" w:color="auto" w:fill="F5F5F5"/>
          </w:tcPr>
          <w:p>
            <w:r>
              <w:t xml:space="preserve">The font style applied to selected rows: Bold and/or Italic.</w:t>
            </w:r>
          </w:p>
        </w:tc>
      </w:tr>
    </w:tbl>
    <w:p/>
    <w:p>
      <w:pPr>
        <w:pStyle w:val="Heading2"/>
      </w:pPr>
      <w:r>
        <w:t>14.2  Connections Section</w:t>
      </w:r>
    </w:p>
    <w:p>
      <w:r>
        <w:t xml:space="preserve">Lists all saved server profiles. Click Edit to modify, Delete to remove, or Add server… to create a new profile. The Up/Down buttons reorder the list; the first profile is the default selection when the application starts.</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shown in the server dropdown and the Worklist tab.</w:t>
            </w:r>
          </w:p>
        </w:tc>
      </w:tr>
      <w:tr>
        <w:tc>
          <w:tcPr>
            <w:tcW w:w="2700" w:type="dxa"/>
            <w:shd w:val="clear" w:color="auto" w:fill="F5F5F5"/>
          </w:tcPr>
          <w:p>
            <w:r>
              <w:t xml:space="preserve">Remote AE Title</w:t>
            </w:r>
          </w:p>
        </w:tc>
        <w:tc>
          <w:tcPr>
            <w:tcW w:w="6300" w:type="dxa"/>
            <w:shd w:val="clear" w:color="auto" w:fill="F5F5F5"/>
          </w:tcPr>
          <w:p>
            <w:r>
              <w:t xml:space="preserve">The AE Title of the PACS or MWL server (case-sensitive, uppercase recommended).</w:t>
            </w:r>
          </w:p>
        </w:tc>
      </w:tr>
      <w:tr>
        <w:tc>
          <w:tcPr>
            <w:tcW w:w="2700" w:type="dxa"/>
          </w:tcPr>
          <w:p>
            <w:r>
              <w:t xml:space="preserve">Host</w:t>
            </w:r>
          </w:p>
        </w:tc>
        <w:tc>
          <w:tcPr>
            <w:tcW w:w="6300" w:type="dxa"/>
          </w:tcPr>
          <w:p>
            <w:r>
              <w:t xml:space="preserve">The hostname or IP address of the server.</w:t>
            </w:r>
          </w:p>
        </w:tc>
      </w:tr>
      <w:tr>
        <w:tc>
          <w:tcPr>
            <w:tcW w:w="2700" w:type="dxa"/>
            <w:shd w:val="clear" w:color="auto" w:fill="F5F5F5"/>
          </w:tcPr>
          <w:p>
            <w:r>
              <w:t xml:space="preserve">Port</w:t>
            </w:r>
          </w:p>
        </w:tc>
        <w:tc>
          <w:tcPr>
            <w:tcW w:w="6300" w:type="dxa"/>
            <w:shd w:val="clear" w:color="auto" w:fill="F5F5F5"/>
          </w:tcPr>
          <w:p>
            <w:r>
              <w:t xml:space="preserve">The TCP port of the DICOM service (commonly 104 or 11112).</w:t>
            </w:r>
          </w:p>
        </w:tc>
      </w:tr>
      <w:tr>
        <w:tc>
          <w:tcPr>
            <w:tcW w:w="2700" w:type="dxa"/>
          </w:tcPr>
          <w:p>
            <w:r>
              <w:t xml:space="preserve">Info model</w:t>
            </w:r>
          </w:p>
        </w:tc>
        <w:tc>
          <w:tcPr>
            <w:tcW w:w="6300" w:type="dxa"/>
          </w:tcPr>
          <w:p>
            <w:r>
              <w:rPr>
                <w:rFonts w:ascii="Courier New" w:hAnsi="Courier New"/>
                <w:sz w:val="18"/>
                <w:szCs w:val="18"/>
                <w:shd w:val="clear" w:color="auto" w:fill="EBEBEB"/>
              </w:rPr>
              <w:t xml:space="preserve">study</w:t>
            </w:r>
            <w:r>
              <w:t xml:space="preserve"> — Study Root (default,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SERIES-level lazy-load is suppressed automatically.</w:t>
            </w:r>
          </w:p>
        </w:tc>
      </w:tr>
      <w:tr>
        <w:tc>
          <w:tcPr>
            <w:tcW w:w="2700" w:type="dxa"/>
            <w:shd w:val="clear" w:color="auto" w:fill="F5F5F5"/>
          </w:tcPr>
          <w:p>
            <w:r>
              <w:t xml:space="preserve">Retrieve method</w:t>
            </w:r>
          </w:p>
        </w:tc>
        <w:tc>
          <w:tcPr>
            <w:tcW w:w="6300" w:type="dxa"/>
            <w:shd w:val="clear" w:color="auto" w:fill="F5F5F5"/>
          </w:tcPr>
          <w:p>
            <w:r>
              <w:t xml:space="preserve">C-MOVE / C-GET / Auto — see Section 4.1.</w:t>
            </w:r>
          </w:p>
        </w:tc>
      </w:tr>
      <w:tr>
        <w:tc>
          <w:tcPr>
            <w:tcW w:w="2700" w:type="dxa"/>
          </w:tcPr>
          <w:p>
            <w:r>
              <w:t xml:space="preserve">Connect timeout</w:t>
            </w:r>
          </w:p>
        </w:tc>
        <w:tc>
          <w:tcPr>
            <w:tcW w:w="6300" w:type="dxa"/>
          </w:tcPr>
          <w:p>
            <w:r>
              <w:t xml:space="preserve">Seconds before a connection attempt is considered failed.</w:t>
            </w:r>
          </w:p>
        </w:tc>
      </w:tr>
      <w:tr>
        <w:tc>
          <w:tcPr>
            <w:tcW w:w="2700" w:type="dxa"/>
            <w:shd w:val="clear" w:color="auto" w:fill="F5F5F5"/>
          </w:tcPr>
          <w:p>
            <w:r>
              <w:t xml:space="preserve">Transfer</w:t>
            </w:r>
          </w:p>
        </w:tc>
        <w:tc>
          <w:tcPr>
            <w:tcW w:w="6300" w:type="dxa"/>
            <w:shd w:val="clear" w:color="auto" w:fill="F5F5F5"/>
          </w:tcPr>
          <w:p>
            <w:r>
              <w:t xml:space="preserve">When ticked, negotiates only uncompressed transfer syntaxes — see Section 4.1 for full details and caveats.</w:t>
            </w:r>
          </w:p>
        </w:tc>
      </w:tr>
    </w:tbl>
    <w:p/>
    <w:p>
      <w:pPr>
        <w:pStyle w:val="Heading2"/>
      </w:pPr>
      <w:r>
        <w:t>14.3  Retrieve Section</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AE Title this workstation presents during DICOM associations.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the embedded C-STORE listener accepts incoming connections. Default: 11112.</w:t>
            </w:r>
          </w:p>
        </w:tc>
      </w:tr>
      <w:tr>
        <w:tc>
          <w:tcPr>
            <w:tcW w:w="2700" w:type="dxa"/>
          </w:tcPr>
          <w:p>
            <w:r>
              <w:t xml:space="preserve">Download folder</w:t>
            </w:r>
          </w:p>
        </w:tc>
        <w:tc>
          <w:tcPr>
            <w:tcW w:w="6300" w:type="dxa"/>
          </w:tcPr>
          <w:p>
            <w:r>
              <w:t xml:space="preserve">The root folder where retrieved and imported DICOM files are written.</w:t>
            </w:r>
          </w:p>
        </w:tc>
      </w:tr>
    </w:tbl>
    <w:p/>
    <w:p>
      <w:r>
        <w:t xml:space="preserve">Changes to AE Title or SCP port take effect the next time a connection is established.</w:t>
      </w:r>
    </w:p>
    <w:p>
      <w:pPr>
        <w:pStyle w:val="Heading2"/>
      </w:pPr>
      <w:r>
        <w:t>14.4  Image Viewer Section</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External viewer</w:t>
            </w:r>
          </w:p>
        </w:tc>
        <w:tc>
          <w:tcPr>
            <w:tcW w:w="6300" w:type="dxa"/>
          </w:tcPr>
          <w:p>
            <w:r>
              <w:t xml:space="preserve">Full path to an external DICOM viewer executable. Click Browse… to locate it, or Auto-detect to search for MicroDicom or RadiAnt DICOM Viewer in the standard installation locations. When left empty, the Open in Viewer buttons and menu items are disabled.</w:t>
            </w:r>
          </w:p>
        </w:tc>
      </w:tr>
    </w:tbl>
    <w:p/>
    <w:p>
      <w:pPr>
        <w:pStyle w:val="Heading1"/>
      </w:pPr>
      <w:r>
        <w:t>15  Status Bar</w:t>
      </w:r>
    </w:p>
    <w:p>
      <w:r>
        <w:t xml:space="preserve">The status bar at the bottom of the window provides real-time feedback. A coloured LED indicator (gray / amber / green) precedes the status text.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v1.5.0</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Disconnected</w:t>
            </w:r>
          </w:p>
        </w:tc>
        <w:tc>
          <w:tcPr>
            <w:tcW w:w="6300" w:type="dxa"/>
            <w:shd w:val="clear" w:color="auto" w:fill="F5F5F5"/>
          </w:tcPr>
          <w:p>
            <w:r>
              <w:rPr>
                <w:rFonts w:ascii="Courier New" w:hAnsi="Courier New"/>
                <w:sz w:val="18"/>
                <w:szCs w:val="18"/>
                <w:shd w:val="clear" w:color="auto" w:fill="EBEBEB"/>
              </w:rPr>
              <w:t xml:space="preserve">Disconnected</w:t>
            </w:r>
          </w:p>
        </w:tc>
      </w:tr>
      <w:tr>
        <w:tc>
          <w:tcPr>
            <w:tcW w:w="2700" w:type="dxa"/>
          </w:tcPr>
          <w:p>
            <w:r>
              <w:t xml:space="preserve">Query in progress</w:t>
            </w:r>
          </w:p>
        </w:tc>
        <w:tc>
          <w:tcPr>
            <w:tcW w:w="6300" w:type="dxa"/>
          </w:tcPr>
          <w:p>
            <w:r>
              <w:rPr>
                <w:rFonts w:ascii="Courier New" w:hAnsi="Courier New"/>
                <w:sz w:val="18"/>
                <w:szCs w:val="18"/>
                <w:shd w:val="clear" w:color="auto" w:fill="EBEBEB"/>
              </w:rPr>
              <w:t xml:space="preserve">Querying…</w:t>
            </w:r>
          </w:p>
        </w:tc>
      </w:tr>
      <w:tr>
        <w:tc>
          <w:tcPr>
            <w:tcW w:w="2700" w:type="dxa"/>
            <w:shd w:val="clear" w:color="auto" w:fill="F5F5F5"/>
          </w:tcPr>
          <w:p>
            <w:r>
              <w:t xml:space="preserve">Loading results into the tree</w:t>
            </w:r>
          </w:p>
        </w:tc>
        <w:tc>
          <w:tcPr>
            <w:tcW w:w="6300" w:type="dxa"/>
            <w:shd w:val="clear" w:color="auto" w:fill="F5F5F5"/>
          </w:tcPr>
          <w:p>
            <w:r>
              <w:rPr>
                <w:rFonts w:ascii="Courier New" w:hAnsi="Courier New"/>
                <w:sz w:val="18"/>
                <w:szCs w:val="18"/>
                <w:shd w:val="clear" w:color="auto" w:fill="EBEBEB"/>
              </w:rPr>
              <w:t xml:space="preserve">Loading results… &lt;N&gt;/&lt;total&gt;</w:t>
            </w:r>
          </w:p>
        </w:tc>
      </w:tr>
      <w:tr>
        <w:tc>
          <w:tcPr>
            <w:tcW w:w="2700" w:type="dxa"/>
          </w:tcPr>
          <w:p>
            <w:r>
              <w:t xml:space="preserve">Query complete</w:t>
            </w:r>
          </w:p>
        </w:tc>
        <w:tc>
          <w:tcPr>
            <w:tcW w:w="6300" w:type="dxa"/>
          </w:tcPr>
          <w:p>
            <w:r>
              <w:rPr>
                <w:rFonts w:ascii="Courier New" w:hAnsi="Courier New"/>
                <w:sz w:val="18"/>
                <w:szCs w:val="18"/>
                <w:shd w:val="clear" w:color="auto" w:fill="EBEBEB"/>
              </w:rPr>
              <w:t xml:space="preserve">Query complete — &lt;N&gt; studies</w:t>
            </w:r>
          </w:p>
        </w:tc>
      </w:tr>
      <w:tr>
        <w:tc>
          <w:tcPr>
            <w:tcW w:w="2700" w:type="dxa"/>
            <w:shd w:val="clear" w:color="auto" w:fill="F5F5F5"/>
          </w:tcPr>
          <w:p>
            <w:r>
              <w:t xml:space="preserve">Query error</w:t>
            </w:r>
          </w:p>
        </w:tc>
        <w:tc>
          <w:tcPr>
            <w:tcW w:w="6300" w:type="dxa"/>
            <w:shd w:val="clear" w:color="auto" w:fill="F5F5F5"/>
          </w:tcPr>
          <w:p>
            <w:r>
              <w:rPr>
                <w:rFonts w:ascii="Courier New" w:hAnsi="Courier New"/>
                <w:sz w:val="18"/>
                <w:szCs w:val="18"/>
                <w:shd w:val="clear" w:color="auto" w:fill="EBEBEB"/>
              </w:rPr>
              <w:t xml:space="preserve">Query error: &lt;reason&gt;</w:t>
            </w:r>
          </w:p>
        </w:tc>
      </w:tr>
      <w:tr>
        <w:tc>
          <w:tcPr>
            <w:tcW w:w="2700" w:type="dxa"/>
          </w:tcPr>
          <w:p>
            <w:r>
              <w:t xml:space="preserve">Retrieve starting</w:t>
            </w:r>
          </w:p>
        </w:tc>
        <w:tc>
          <w:tcPr>
            <w:tcW w:w="6300" w:type="dxa"/>
          </w:tcPr>
          <w:p>
            <w:r>
              <w:rPr>
                <w:rFonts w:ascii="Courier New" w:hAnsi="Courier New"/>
                <w:sz w:val="18"/>
                <w:szCs w:val="18"/>
                <w:shd w:val="clear" w:color="auto" w:fill="EBEBEB"/>
              </w:rPr>
              <w:t xml:space="preserve">Starting retrieve of &lt;N&gt; studies…</w:t>
            </w:r>
          </w:p>
        </w:tc>
      </w:tr>
      <w:tr>
        <w:tc>
          <w:tcPr>
            <w:tcW w:w="2700" w:type="dxa"/>
            <w:shd w:val="clear" w:color="auto" w:fill="F5F5F5"/>
          </w:tcPr>
          <w:p>
            <w:r>
              <w:t xml:space="preserve">Retrieve in progress</w:t>
            </w:r>
          </w:p>
        </w:tc>
        <w:tc>
          <w:tcPr>
            <w:tcW w:w="6300" w:type="dxa"/>
            <w:shd w:val="clear" w:color="auto" w:fill="F5F5F5"/>
          </w:tcPr>
          <w:p>
            <w:r>
              <w:rPr>
                <w:rFonts w:ascii="Courier New" w:hAnsi="Courier New"/>
                <w:sz w:val="18"/>
                <w:szCs w:val="18"/>
                <w:shd w:val="clear" w:color="auto" w:fill="EBEBEB"/>
              </w:rPr>
              <w:t xml:space="preserve">Retrieving study &lt;N&gt;/&lt;total&gt;…</w:t>
            </w:r>
          </w:p>
        </w:tc>
      </w:tr>
      <w:tr>
        <w:tc>
          <w:tcPr>
            <w:tcW w:w="2700" w:type="dxa"/>
          </w:tcPr>
          <w:p>
            <w:r>
              <w:t xml:space="preserve">File received</w:t>
            </w:r>
          </w:p>
        </w:tc>
        <w:tc>
          <w:tcPr>
            <w:tcW w:w="6300" w:type="dxa"/>
          </w:tcPr>
          <w:p>
            <w:r>
              <w:rPr>
                <w:rFonts w:ascii="Courier New" w:hAnsi="Courier New"/>
                <w:sz w:val="18"/>
                <w:szCs w:val="18"/>
                <w:shd w:val="clear" w:color="auto" w:fill="EBEBEB"/>
              </w:rPr>
              <w:t xml:space="preserve">Received: &lt;file path&gt;</w:t>
            </w:r>
          </w:p>
        </w:tc>
      </w:tr>
      <w:tr>
        <w:tc>
          <w:tcPr>
            <w:tcW w:w="2700" w:type="dxa"/>
            <w:shd w:val="clear" w:color="auto" w:fill="F5F5F5"/>
          </w:tcPr>
          <w:p>
            <w:r>
              <w:t xml:space="preserve">Retrieve complete</w:t>
            </w:r>
          </w:p>
        </w:tc>
        <w:tc>
          <w:tcPr>
            <w:tcW w:w="6300" w:type="dxa"/>
            <w:shd w:val="clear" w:color="auto" w:fill="F5F5F5"/>
          </w:tcPr>
          <w:p>
            <w:r>
              <w:rPr>
                <w:rFonts w:ascii="Courier New" w:hAnsi="Courier New"/>
                <w:sz w:val="18"/>
                <w:szCs w:val="18"/>
                <w:shd w:val="clear" w:color="auto" w:fill="EBEBEB"/>
              </w:rPr>
              <w:t xml:space="preserve">Retrieved &lt;N&gt; files successfully</w:t>
            </w:r>
          </w:p>
        </w:tc>
      </w:tr>
      <w:tr>
        <w:tc>
          <w:tcPr>
            <w:tcW w:w="2700" w:type="dxa"/>
          </w:tcPr>
          <w:p>
            <w:r>
              <w:t xml:space="preserve">Retrieve complete with warnings</w:t>
            </w:r>
          </w:p>
        </w:tc>
        <w:tc>
          <w:tcPr>
            <w:tcW w:w="6300" w:type="dxa"/>
          </w:tcPr>
          <w:p>
            <w:r>
              <w:rPr>
                <w:rFonts w:ascii="Courier New" w:hAnsi="Courier New"/>
                <w:sz w:val="18"/>
                <w:szCs w:val="18"/>
                <w:shd w:val="clear" w:color="auto" w:fill="EBEBEB"/>
              </w:rPr>
              <w:t xml:space="preserve">Retrieved &lt;N&gt; files (&lt;X&gt;/&lt;total&gt; targets had errors — see log)</w:t>
            </w:r>
          </w:p>
        </w:tc>
      </w:tr>
      <w:tr>
        <w:tc>
          <w:tcPr>
            <w:tcW w:w="2700" w:type="dxa"/>
            <w:shd w:val="clear" w:color="auto" w:fill="F5F5F5"/>
          </w:tcPr>
          <w:p>
            <w:r>
              <w:t xml:space="preserve">Retrieve cancelled</w:t>
            </w:r>
          </w:p>
        </w:tc>
        <w:tc>
          <w:tcPr>
            <w:tcW w:w="6300" w:type="dxa"/>
            <w:shd w:val="clear" w:color="auto" w:fill="F5F5F5"/>
          </w:tcPr>
          <w:p>
            <w:r>
              <w:rPr>
                <w:rFonts w:ascii="Courier New" w:hAnsi="Courier New"/>
                <w:sz w:val="18"/>
                <w:szCs w:val="18"/>
                <w:shd w:val="clear" w:color="auto" w:fill="EBEBEB"/>
              </w:rPr>
              <w:t xml:space="preserve">Retrieve cancelled</w:t>
            </w:r>
          </w:p>
        </w:tc>
      </w:tr>
      <w:tr>
        <w:tc>
          <w:tcPr>
            <w:tcW w:w="2700" w:type="dxa"/>
          </w:tcPr>
          <w:p>
            <w:r>
              <w:t xml:space="preserve">C-ECHO test passed</w:t>
            </w:r>
          </w:p>
        </w:tc>
        <w:tc>
          <w:tcPr>
            <w:tcW w:w="6300" w:type="dxa"/>
          </w:tcPr>
          <w:p>
            <w:r>
              <w:rPr>
                <w:rFonts w:ascii="Courier New" w:hAnsi="Courier New"/>
                <w:sz w:val="18"/>
                <w:szCs w:val="18"/>
                <w:shd w:val="clear" w:color="auto" w:fill="EBEBEB"/>
              </w:rPr>
              <w:t xml:space="preserve">C-ECHO success</w:t>
            </w:r>
          </w:p>
        </w:tc>
      </w:tr>
      <w:tr>
        <w:tc>
          <w:tcPr>
            <w:tcW w:w="2700" w:type="dxa"/>
            <w:shd w:val="clear" w:color="auto" w:fill="F5F5F5"/>
          </w:tcPr>
          <w:p>
            <w:r>
              <w:t xml:space="preserve">C-ECHO test failed</w:t>
            </w:r>
          </w:p>
        </w:tc>
        <w:tc>
          <w:tcPr>
            <w:tcW w:w="6300" w:type="dxa"/>
            <w:shd w:val="clear" w:color="auto" w:fill="F5F5F5"/>
          </w:tcPr>
          <w:p>
            <w:r>
              <w:rPr>
                <w:rFonts w:ascii="Courier New" w:hAnsi="Courier New"/>
                <w:sz w:val="18"/>
                <w:szCs w:val="18"/>
                <w:shd w:val="clear" w:color="auto" w:fill="EBEBEB"/>
              </w:rPr>
              <w:t xml:space="preserve">C-ECHO failed: &lt;reason&gt;</w:t>
            </w:r>
          </w:p>
        </w:tc>
      </w:tr>
    </w:tbl>
    <w:p/>
    <w:p>
      <w:r>
        <w:t xml:space="preserve">The SCP status indicator row in the connection panel shows: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SCP indicator text</w:t>
            </w:r>
          </w:p>
        </w:tc>
      </w:tr>
      <w:tr>
        <w:tc>
          <w:tcPr>
            <w:tcW w:w="2700" w:type="dxa"/>
          </w:tcPr>
          <w:p>
            <w:r>
              <w:t xml:space="preserve">Not connected</w:t>
            </w:r>
          </w:p>
        </w:tc>
        <w:tc>
          <w:tcPr>
            <w:tcW w:w="6300" w:type="dxa"/>
          </w:tcPr>
          <w:p>
            <w:r>
              <w:t xml:space="preserve">SCP: not running</w:t>
            </w:r>
          </w:p>
        </w:tc>
      </w:tr>
      <w:tr>
        <w:tc>
          <w:tcPr>
            <w:tcW w:w="2700" w:type="dxa"/>
            <w:shd w:val="clear" w:color="auto" w:fill="F5F5F5"/>
          </w:tcPr>
          <w:p>
            <w:r>
              <w:t xml:space="preserve">SCP listening</w:t>
            </w:r>
          </w:p>
        </w:tc>
        <w:tc>
          <w:tcPr>
            <w:tcW w:w="6300" w:type="dxa"/>
            <w:shd w:val="clear" w:color="auto" w:fill="F5F5F5"/>
          </w:tcPr>
          <w:p>
            <w:r>
              <w:t xml:space="preserve">SCP: listening on 0.0.0.0:&lt;port&gt; (AE: &lt;title&gt;)</w:t>
            </w:r>
          </w:p>
        </w:tc>
      </w:tr>
      <w:tr>
        <w:tc>
          <w:tcPr>
            <w:tcW w:w="2700" w:type="dxa"/>
          </w:tcPr>
          <w:p>
            <w:r>
              <w:t xml:space="preserve">SCP failed to start</w:t>
            </w:r>
          </w:p>
        </w:tc>
        <w:tc>
          <w:tcPr>
            <w:tcW w:w="6300" w:type="dxa"/>
          </w:tcPr>
          <w:p>
            <w:r>
              <w:t xml:space="preserve">SCP: error —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System font for result tree rows. Empty =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TCP port for the embedded C-STORE listener.</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Absolute path of the download folder. Defaults to ~/DICOM Downloads.</w:t>
            </w:r>
          </w:p>
        </w:tc>
      </w:tr>
      <w:tr>
        <w:tc>
          <w:tcPr>
            <w:tcW w:w="2200" w:type="dxa"/>
            <w:shd w:val="clear" w:color="auto" w:fill="F5F5F5"/>
          </w:tcPr>
          <w:p>
            <w:r>
              <w:rPr>
                <w:rFonts w:ascii="Courier New" w:hAnsi="Courier New"/>
                <w:sz w:val="18"/>
                <w:szCs w:val="18"/>
                <w:shd w:val="clear" w:color="auto" w:fill="EBEBEB"/>
              </w:rPr>
              <w:t xml:space="preserve">viewerPath</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Full path to an external DICOM viewer executable. Empty disables the Open in Viewer controls.</w:t>
            </w:r>
          </w:p>
        </w:tc>
      </w:tr>
      <w:tr>
        <w:tc>
          <w:tcPr>
            <w:tcW w:w="2200" w:type="dxa"/>
          </w:tcPr>
          <w:p>
            <w:r>
              <w:rPr>
                <w:rFonts w:ascii="Courier New" w:hAnsi="Courier New"/>
                <w:sz w:val="18"/>
                <w:szCs w:val="18"/>
                <w:shd w:val="clear" w:color="auto" w:fill="EBEBEB"/>
              </w:rPr>
              <w:t xml:space="preserve">selectionColor</w:t>
            </w:r>
          </w:p>
        </w:tc>
        <w:tc>
          <w:tcPr>
            <w:tcW w:w="1600" w:type="dxa"/>
          </w:tcPr>
          <w:p>
            <w:r>
              <w:rPr>
                <w:rFonts w:ascii="Courier New" w:hAnsi="Courier New"/>
                <w:sz w:val="18"/>
                <w:szCs w:val="18"/>
                <w:shd w:val="clear" w:color="auto" w:fill="EBEBEB"/>
              </w:rPr>
              <w:t xml:space="preserve">""</w:t>
            </w:r>
          </w:p>
        </w:tc>
        <w:tc>
          <w:tcPr>
            <w:tcW w:w="5200" w:type="dxa"/>
          </w:tcPr>
          <w:p>
            <w:r>
              <w:t xml:space="preserve">Colour applied to selected tree rows (RRGGBBAA hex). Empty follows the theme primary colour.</w:t>
            </w:r>
          </w:p>
        </w:tc>
      </w:tr>
      <w:tr>
        <w:tc>
          <w:tcPr>
            <w:tcW w:w="2200" w:type="dxa"/>
            <w:shd w:val="clear" w:color="auto" w:fill="F5F5F5"/>
          </w:tcPr>
          <w:p>
            <w:r>
              <w:rPr>
                <w:rFonts w:ascii="Courier New" w:hAnsi="Courier New"/>
                <w:sz w:val="18"/>
                <w:szCs w:val="18"/>
                <w:shd w:val="clear" w:color="auto" w:fill="EBEBEB"/>
              </w:rPr>
              <w:t xml:space="preserve">selectionBold</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Whether selected rows are drawn in bold.</w:t>
            </w:r>
          </w:p>
        </w:tc>
      </w:tr>
      <w:tr>
        <w:tc>
          <w:tcPr>
            <w:tcW w:w="2200" w:type="dxa"/>
          </w:tcPr>
          <w:p>
            <w:r>
              <w:rPr>
                <w:rFonts w:ascii="Courier New" w:hAnsi="Courier New"/>
                <w:sz w:val="18"/>
                <w:szCs w:val="18"/>
                <w:shd w:val="clear" w:color="auto" w:fill="EBEBEB"/>
              </w:rPr>
              <w:t xml:space="preserve">selectionItalic</w:t>
            </w:r>
          </w:p>
        </w:tc>
        <w:tc>
          <w:tcPr>
            <w:tcW w:w="1600" w:type="dxa"/>
          </w:tcPr>
          <w:p>
            <w:r>
              <w:rPr>
                <w:rFonts w:ascii="Courier New" w:hAnsi="Courier New"/>
                <w:sz w:val="18"/>
                <w:szCs w:val="18"/>
                <w:shd w:val="clear" w:color="auto" w:fill="EBEBEB"/>
              </w:rPr>
              <w:t xml:space="preserve">false</w:t>
            </w:r>
          </w:p>
        </w:tc>
        <w:tc>
          <w:tcPr>
            <w:tcW w:w="5200" w:type="dxa"/>
          </w:tcPr>
          <w:p>
            <w:r>
              <w:t xml:space="preserve">Whether selected rows are drawn in italic.</w:t>
            </w:r>
          </w:p>
        </w:tc>
      </w:tr>
      <w:tr>
        <w:tc>
          <w:tcPr>
            <w:tcW w:w="2200" w:type="dxa"/>
            <w:shd w:val="clear" w:color="auto" w:fill="F5F5F5"/>
          </w:tcPr>
          <w:p>
            <w:r>
              <w:rPr>
                <w:rFonts w:ascii="Courier New" w:hAnsi="Courier New"/>
                <w:sz w:val="18"/>
                <w:szCs w:val="18"/>
                <w:shd w:val="clear" w:color="auto" w:fill="EBEBEB"/>
              </w:rPr>
              <w:t xml:space="preserve">windowWidth</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Saved window width in pixels. 0 uses the default; updated automatically on close.</w:t>
            </w:r>
          </w:p>
        </w:tc>
      </w:tr>
      <w:tr>
        <w:tc>
          <w:tcPr>
            <w:tcW w:w="2200" w:type="dxa"/>
          </w:tcPr>
          <w:p>
            <w:r>
              <w:rPr>
                <w:rFonts w:ascii="Courier New" w:hAnsi="Courier New"/>
                <w:sz w:val="18"/>
                <w:szCs w:val="18"/>
                <w:shd w:val="clear" w:color="auto" w:fill="EBEBEB"/>
              </w:rPr>
              <w:t xml:space="preserve">windowHeight</w:t>
            </w:r>
          </w:p>
        </w:tc>
        <w:tc>
          <w:tcPr>
            <w:tcW w:w="1600" w:type="dxa"/>
          </w:tcPr>
          <w:p>
            <w:r>
              <w:rPr>
                <w:rFonts w:ascii="Courier New" w:hAnsi="Courier New"/>
                <w:sz w:val="18"/>
                <w:szCs w:val="18"/>
                <w:shd w:val="clear" w:color="auto" w:fill="EBEBEB"/>
              </w:rPr>
              <w:t xml:space="preserve">0</w:t>
            </w:r>
          </w:p>
        </w:tc>
        <w:tc>
          <w:tcPr>
            <w:tcW w:w="5200" w:type="dxa"/>
          </w:tcPr>
          <w:p>
            <w:r>
              <w:t xml:space="preserve">Saved window height in pixels.</w:t>
            </w:r>
          </w:p>
        </w:tc>
      </w:tr>
      <w:tr>
        <w:tc>
          <w:tcPr>
            <w:tcW w:w="2200" w:type="dxa"/>
            <w:shd w:val="clear" w:color="auto" w:fill="F5F5F5"/>
          </w:tcPr>
          <w:p>
            <w:r>
              <w:rPr>
                <w:rFonts w:ascii="Courier New" w:hAnsi="Courier New"/>
                <w:sz w:val="18"/>
                <w:szCs w:val="18"/>
                <w:shd w:val="clear" w:color="auto" w:fill="EBEBEB"/>
              </w:rPr>
              <w:t xml:space="preserve">profiles</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Array of saved server profile objects (see below).</w:t>
            </w:r>
          </w:p>
        </w:tc>
      </w:tr>
    </w:tbl>
    <w:p/>
    <w:p>
      <w:r>
        <w:t xml:space="preserve">Each entry in the </w:t>
      </w:r>
      <w:r>
        <w:rPr>
          <w:rFonts w:ascii="Courier New" w:hAnsi="Courier New"/>
          <w:sz w:val="18"/>
          <w:szCs w:val="18"/>
          <w:shd w:val="clear" w:color="auto" w:fill="EBEBEB"/>
        </w:rPr>
        <w:t xml:space="preserve">profiles</w:t>
      </w:r>
      <w:r>
        <w:t xml:space="preserve"> array: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AE Title of the PACS or MWL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Hostname or IP address.</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TCP port.</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w:t>
            </w:r>
            <w:r>
              <w:rPr>
                <w:rFonts w:ascii="Courier New" w:hAnsi="Courier New"/>
                <w:sz w:val="18"/>
                <w:szCs w:val="18"/>
                <w:shd w:val="clear" w:color="auto" w:fill="EBEBEB"/>
              </w:rPr>
              <w:t xml:space="preserve">"patient"</w:t>
            </w:r>
            <w:r>
              <w:t xml:space="preserve">, or </w:t>
            </w:r>
            <w:r>
              <w:rPr>
                <w:rFonts w:ascii="Courier New" w:hAnsi="Courier New"/>
                <w:sz w:val="18"/>
                <w:szCs w:val="18"/>
                <w:shd w:val="clear" w:color="auto" w:fill="EBEBEB"/>
              </w:rPr>
              <w:t xml:space="preserve">"patient-study-only"</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defaults to C-MOVE.</w:t>
            </w:r>
          </w:p>
        </w:tc>
      </w:tr>
      <w:tr>
        <w:tc>
          <w:tcPr>
            <w:tcW w:w="2700" w:type="dxa"/>
          </w:tcPr>
          <w:p>
            <w:r>
              <w:rPr>
                <w:rFonts w:ascii="Courier New" w:hAnsi="Courier New"/>
                <w:sz w:val="18"/>
                <w:szCs w:val="18"/>
                <w:shd w:val="clear" w:color="auto" w:fill="EBEBEB"/>
              </w:rPr>
              <w:t xml:space="preserve">connectTimeout</w:t>
            </w:r>
          </w:p>
        </w:tc>
        <w:tc>
          <w:tcPr>
            <w:tcW w:w="6300" w:type="dxa"/>
          </w:tcPr>
          <w:p>
            <w:r>
              <w:t xml:space="preserve">Connection timeout in seconds. 0 uses the default (10 s).</w:t>
            </w:r>
          </w:p>
        </w:tc>
      </w:tr>
      <w:tr>
        <w:tc>
          <w:tcPr>
            <w:tcW w:w="2700" w:type="dxa"/>
            <w:shd w:val="clear" w:color="auto" w:fill="F5F5F5"/>
          </w:tcPr>
          <w:p>
            <w:r>
              <w:rPr>
                <w:rFonts w:ascii="Courier New" w:hAnsi="Courier New"/>
                <w:sz w:val="18"/>
                <w:szCs w:val="18"/>
                <w:shd w:val="clear" w:color="auto" w:fill="EBEBEB"/>
              </w:rPr>
              <w:t xml:space="preserve">transferUncompressed</w:t>
            </w:r>
          </w:p>
        </w:tc>
        <w:tc>
          <w:tcPr>
            <w:tcW w:w="6300" w:type="dxa"/>
            <w:shd w:val="clear" w:color="auto" w:fill="F5F5F5"/>
          </w:tcPr>
          <w:p>
            <w:r>
              <w:t xml:space="preserve">When true, the A-ASSOCIATE negotiation for C-GET and C-MOVE offers only uncompressed transfer syntaxes. Default: false.</w:t>
            </w:r>
          </w:p>
        </w:tc>
      </w:tr>
    </w:tbl>
    <w:p/>
    <w:p>
      <w:r>
        <w:t xml:space="preserve">The Annotations overlay toggle is stored in the application's Fyne preferences (not in settings.json) and persists automatically between sessions.</w:t>
      </w:r>
    </w:p>
    <w:p>
      <w:r>
        <w:br w:type="page"/>
      </w:r>
    </w:p>
    <w:p>
      <w:pPr>
        <w:pStyle w:val="Heading1"/>
      </w:pPr>
      <w:r>
        <w:t>Appendix B  PACS Configuration Notes</w:t>
      </w:r>
    </w:p>
    <w:p>
      <w:r>
        <w:t xml:space="preserve">AE Title registration — The PACS must have a record of the local AE Title (default DICOMQR) associated with the workstation's IP address and SCP port. Look for "Known Destinations", "Remote AE Configuration", or similar.</w:t>
      </w:r>
    </w:p>
    <w:p>
      <w:r>
        <w:t xml:space="preserve">C-MOVE destination — For file delivery the PACS must be configured to push files to the local SCP address. The workstation must be reachable at the IP and port shown in Help &gt; Client info…</w:t>
      </w:r>
    </w:p>
    <w:p>
      <w:r>
        <w:t xml:space="preserve">Windows Firewall — An inbound rule permitting TCP connections on the SCP port (default 11112) is required.</w:t>
      </w:r>
    </w:p>
    <w:p>
      <w:r>
        <w:t xml:space="preserve">Information model — If queries return no results, try changing the Info model in the server profile. Some PACS require Study Root, others Patient Root. A small number of legacy systems require the Patient/Study Only model (patient-study-only).</w:t>
      </w:r>
    </w:p>
    <w:p>
      <w:r>
        <w:t xml:space="preserve">Worklist server — The Modality Worklist SOP class is typically served by a RIS or dedicated MWL broker, not the PACS itself. Create a separate server profile pointing to that system and select it in the Worklist tab.</w:t>
      </w:r>
    </w:p>
    <w:p>
      <w:r>
        <w:t xml:space="preserve">Compressed pixel data — the built-in viewer decodes JPEG Baseline and JPEG 2000. If the PACS stores images in JPEG-LS or another compressed format the viewer cannot decode, enable 'Request uncompressed transfer syntax only' in the server profile. The PACS will transcode on the fly if it supports transcoding. If the PACS does not support transcoding, the transfer will fail for those SOP classes; use the external viewer integration instead.</w:t>
      </w:r>
    </w:p>
    <w:p>
      <w:r>
        <w:t xml:space="preserve">IPv4 connectivity — dicomqr listens on an IPv4 socket only. Ensure the address shown in Help &gt; Client info… is the correct IPv4 address on the same network as the PACS.</w:t>
      </w:r>
    </w:p>
    <w:p>
      <w:r>
        <w:br w:type="page"/>
      </w:r>
    </w:p>
    <w:p>
      <w:pPr>
        <w:pStyle w:val="Heading1"/>
      </w:pPr>
      <w:r>
        <w:t>Appendix C  Credits and Acknowledgements</w:t>
      </w:r>
    </w:p>
    <w:p>
      <w:pPr>
        <w:pStyle w:val="Heading2"/>
      </w:pPr>
      <w:r>
        <w:t>Developer</w:t>
      </w:r>
    </w:p>
    <w:p>
      <w:r>
        <w:t xml:space="preserve">Jeffrey Leal</w:t>
      </w:r>
    </w:p>
    <w:p>
      <w:r>
        <w:t xml:space="preserve">Email: jeffrey.leal@gmail.com</w:t>
      </w:r>
    </w:p>
    <w:p>
      <w:r>
        <w:t xml:space="preserve">GitHub: https://github.com/jeffrey-leal</w:t>
      </w:r>
    </w:p>
    <w:p>
      <w:pPr>
        <w:pStyle w:val="Heading2"/>
      </w:pPr>
      <w:r>
        <w:t>AI Assistance</w:t>
      </w:r>
    </w:p>
    <w:p>
      <w:r>
        <w:t xml:space="preserve">This application was designed and developed with the assistance of Claude Sonnet 4.6 by Anthropic, accessed through Claude Code (https://claude.ai/code). Architecture planning, code generation, DICOM standard research, and documentation were produced in collaboration with Claude Code.</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 Modality Worklist K.4; Storage B.5)</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SCP/SCU, Worklist)</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image rendering, annotation extraction</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