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v1.10.0</w:t>
      </w:r>
    </w:p>
    <w:p>
      <w:pPr>
        <w:spacing w:before="0" w:after="240"/>
        <w:jc w:val="center"/>
      </w:pPr>
      <w:r>
        <w:rPr>
          <w:color w:val="595959"/>
          <w:sz w:val="24"/>
          <w:szCs w:val="24"/>
        </w:rPr>
        <w:t xml:space="preserve">July 30,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flow from the top-left, wrapping into as many columns as fit the window, and reflow when the window is resized. Double-click any thumbnail to open that series in the full series viewer.</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v1.10.0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italicPrivate</w:t>
            </w:r>
          </w:p>
        </w:tc>
        <w:tc>
          <w:tcPr>
            <w:tcW w:w="1600" w:type="dxa"/>
          </w:tcPr>
          <w:p>
            <w:r>
              <w:rPr>
                <w:rFonts w:ascii="Courier New" w:hAnsi="Courier New"/>
                <w:sz w:val="18"/>
                <w:szCs w:val="18"/>
                <w:shd w:val="clear" w:color="auto" w:fill="EBEBEB"/>
              </w:rPr>
              <w:t xml:space="preserve">true</w:t>
            </w:r>
          </w:p>
        </w:tc>
        <w:tc>
          <w:tcPr>
            <w:tcW w:w="5200" w:type="dxa"/>
          </w:tcPr>
          <w:p>
            <w:r>
              <w:t xml:space="preserve">Render private tags in italic in the View Tags window.</w:t>
            </w:r>
          </w:p>
        </w:tc>
      </w:tr>
      <w:tr>
        <w:tc>
          <w:tcPr>
            <w:tcW w:w="2200" w:type="dxa"/>
            <w:shd w:val="clear" w:color="auto" w:fill="F5F5F5"/>
          </w:tcPr>
          <w:p>
            <w:r>
              <w:rPr>
                <w:rFonts w:ascii="Courier New" w:hAnsi="Courier New"/>
                <w:sz w:val="18"/>
                <w:szCs w:val="18"/>
                <w:shd w:val="clear" w:color="auto" w:fill="EBEBEB"/>
              </w:rPr>
              <w:t xml:space="preserve">malformedColor</w:t>
            </w:r>
          </w:p>
        </w:tc>
        <w:tc>
          <w:tcPr>
            <w:tcW w:w="1600" w:type="dxa"/>
            <w:shd w:val="clear" w:color="auto" w:fill="F5F5F5"/>
          </w:tcPr>
          <w:p>
            <w:r>
              <w:rPr>
                <w:rFonts w:ascii="Courier New" w:hAnsi="Courier New"/>
                <w:sz w:val="18"/>
                <w:szCs w:val="18"/>
                <w:shd w:val="clear" w:color="auto" w:fill="EBEBEB"/>
              </w:rPr>
              <w:t xml:space="preserve">"E54545FF"</w:t>
            </w:r>
          </w:p>
        </w:tc>
        <w:tc>
          <w:tcPr>
            <w:tcW w:w="5200" w:type="dxa"/>
            <w:shd w:val="clear" w:color="auto" w:fill="F5F5F5"/>
          </w:tcPr>
          <w:p>
            <w:r>
              <w:t xml:space="preserve">RRGGBBAA colour for tags whose value representation violates the standard.</w:t>
            </w:r>
          </w:p>
        </w:tc>
      </w:tr>
      <w:tr>
        <w:tc>
          <w:tcPr>
            <w:tcW w:w="2200" w:type="dxa"/>
          </w:tcPr>
          <w:p>
            <w:r>
              <w:rPr>
                <w:rFonts w:ascii="Courier New" w:hAnsi="Courier New"/>
                <w:sz w:val="18"/>
                <w:szCs w:val="18"/>
                <w:shd w:val="clear" w:color="auto" w:fill="EBEBEB"/>
              </w:rPr>
              <w:t xml:space="preserve">tagProfiles</w:t>
            </w:r>
          </w:p>
        </w:tc>
        <w:tc>
          <w:tcPr>
            <w:tcW w:w="1600" w:type="dxa"/>
          </w:tcPr>
          <w:p>
            <w:r>
              <w:t xml:space="preserve">PHI profile</w:t>
            </w:r>
          </w:p>
        </w:tc>
        <w:tc>
          <w:tcPr>
            <w:tcW w:w="5200" w:type="dxa"/>
          </w:tcPr>
          <w:p>
            <w:r>
              <w:t xml:space="preserve">Array of tag-highlight profiles (name, colour, enabled, tag list) — see Section 14.2. Wire format matches dicomhdr.</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