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2286000" cy="22860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2286000" cy="2286000"/>
                    </a:xfrm>
                    <a:prstGeom prst="rect">
                      <a:avLst/>
                    </a:prstGeom>
                  </pic:spPr>
                </pic:pic>
              </a:graphicData>
            </a:graphic>
          </wp:inline>
        </w:drawing>
      </w:r>
    </w:p>
    <w:p>
      <w:pPr>
        <w:spacing w:before="0" w:after="120"/>
        <w:jc w:val="center"/>
      </w:pPr>
      <w:r>
        <w:rPr>
          <w:b/>
          <w:color w:val="2E74B5"/>
          <w:sz w:val="72"/>
          <w:szCs w:val="72"/>
        </w:rPr>
        <w:t xml:space="preserve">dicomtool</w:t>
      </w:r>
    </w:p>
    <w:p>
      <w:pPr>
        <w:spacing w:before="0" w:after="240"/>
        <w:jc w:val="center"/>
      </w:pPr>
      <w:r>
        <w:rPr>
          <w:color w:val="595959"/>
          <w:sz w:val="32"/>
          <w:szCs w:val="32"/>
        </w:rPr>
        <w:t xml:space="preserve">Usage Manual  v1.4.2</w:t>
      </w:r>
    </w:p>
    <w:p>
      <w:pPr>
        <w:spacing w:before="0" w:after="240"/>
        <w:jc w:val="center"/>
      </w:pPr>
      <w:r>
        <w:rPr>
          <w:color w:val="595959"/>
          <w:sz w:val="24"/>
          <w:szCs w:val="24"/>
        </w:rPr>
        <w:t xml:space="preserve">June 2, 2026</w:t>
      </w:r>
    </w:p>
    <w:p>
      <w:pPr>
        <w:spacing w:before="0" w:after="480"/>
        <w:jc w:val="center"/>
      </w:pPr>
      <w:r>
        <w:t xml:space="preserve">A command-line utility for inspecting and modifying DICOM medical imaging files.</w:t>
      </w:r>
    </w:p>
    <w:p>
      <w:pPr>
        <w:spacing w:before="0" w:after="0"/>
        <w:jc w:val="center"/>
        <w:sectPr>
          <w:pgSz w:w="12240" w:h="15840"/>
          <w:pgMar w:top="1440" w:right="1440" w:bottom="1440" w:left="1440" w:header="720" w:footer="720" w:gutter="0"/>
          <w:vAlign w:val="center"/>
        </w:sectPr>
      </w:pPr>
      <w:r>
        <w:rPr>
          <w:sz w:val="20"/>
          <w:szCs w:val="20"/>
        </w:rPr>
        <w:t xml:space="preserve">Image Response Assessment Team (IRAT)</w:t>
      </w:r>
      <w:r>
        <w:br/>
      </w:r>
      <w:r>
        <w:rPr>
          <w:sz w:val="20"/>
          <w:szCs w:val="20"/>
        </w:rPr>
        <w:t xml:space="preserve">550 North Broadway, Suite 300</w:t>
      </w:r>
      <w:r>
        <w:br/>
      </w:r>
      <w:r>
        <w:rPr>
          <w:sz w:val="20"/>
          <w:szCs w:val="20"/>
        </w:rPr>
        <w:t xml:space="preserve">The Sidney Kimmel Comprehensive Cancer Center</w:t>
      </w:r>
      <w:r>
        <w:br/>
      </w:r>
      <w:r>
        <w:rPr>
          <w:sz w:val="20"/>
          <w:szCs w:val="20"/>
        </w:rPr>
        <w:t xml:space="preserve">The Johns Hopkins University School of Medicine</w:t>
      </w:r>
      <w:r>
        <w:br/>
      </w:r>
      <w:r>
        <w:rPr>
          <w:sz w:val="20"/>
          <w:szCs w:val="20"/>
        </w:rPr>
        <w:t xml:space="preserve">Baltimore, MD 21205</w:t>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[remapuids:true]</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 Mutually exclusive with </w:t>
            </w:r>
            <w:r>
              <w:rPr>
                <w:rFonts w:ascii="Courier New" w:hAnsi="Courier New"/>
                <w:sz w:val="18"/>
                <w:szCs w:val="18"/>
                <w:shd w:val="clear" w:color="auto" w:fill="EBEBEB"/>
              </w:rPr>
              <w:t xml:space="preserve">remapuids:true</w:t>
            </w:r>
            <w:r>
              <w:t xml:space="preserve">.</w:t>
            </w:r>
          </w:p>
        </w:tc>
      </w:tr>
      <w:tr>
        <w:tc>
          <w:tcPr>
            <w:tcW w:w="2700" w:type="dxa"/>
          </w:tcPr>
          <w:p>
            <w:r>
              <w:rPr>
                <w:rFonts w:ascii="Courier New" w:hAnsi="Courier New"/>
                <w:sz w:val="18"/>
                <w:szCs w:val="18"/>
                <w:shd w:val="clear" w:color="auto" w:fill="EBEBEB"/>
              </w:rPr>
              <w:t xml:space="preserve">remapuids:true</w:t>
            </w:r>
          </w:p>
        </w:tc>
        <w:tc>
          <w:tcPr>
            <w:tcW w:w="6300" w:type="dxa"/>
          </w:tcPr>
          <w:p>
            <w:r>
              <w:t xml:space="preserve">Replace every study, series, and instance UID — and all references to them — with a freshly generated UID. Remapping is consistent across the entire run: the same source UID always maps to the same new UID in every file, so study/series/instance relationships and internal cross-references are preserved while linkage to the source is severed. SOP Class UIDs, Transfer Syntax UIDs, and the Implementation Class UID are left unchanged so files remain valid. Cannot be combined with </w:t>
            </w:r>
            <w:r>
              <w:rPr>
                <w:rFonts w:ascii="Courier New" w:hAnsi="Courier New"/>
                <w:sz w:val="18"/>
                <w:szCs w:val="18"/>
                <w:shd w:val="clear" w:color="auto" w:fill="EBEBEB"/>
              </w:rPr>
              <w:t xml:space="preserve">uid:</w:t>
            </w:r>
            <w:r>
              <w:t xml:space="preserve">.</w:t>
            </w:r>
          </w:p>
        </w:tc>
      </w:tr>
      <w:tr>
        <w:tc>
          <w:tcPr>
            <w:tcW w:w="2700" w:type="dxa"/>
            <w:shd w:val="clear" w:color="auto" w:fill="F5F5F5"/>
          </w:tcPr>
          <w:p>
            <w:r>
              <w:rPr>
                <w:rFonts w:ascii="Courier New" w:hAnsi="Courier New"/>
                <w:sz w:val="18"/>
                <w:szCs w:val="18"/>
                <w:shd w:val="clear" w:color="auto" w:fill="EBEBEB"/>
              </w:rPr>
              <w:t xml:space="preserve">noprivate:true</w:t>
            </w:r>
          </w:p>
        </w:tc>
        <w:tc>
          <w:tcPr>
            <w:tcW w:w="6300" w:type="dxa"/>
            <w:shd w:val="clear" w:color="auto" w:fill="F5F5F5"/>
          </w:tcPr>
          <w:p>
            <w:r>
              <w:t xml:space="preserve">Remove all private tags (those with an odd group number) before writing output.</w:t>
            </w:r>
          </w:p>
        </w:tc>
      </w:tr>
      <w:tr>
        <w:tc>
          <w:tcPr>
            <w:tcW w:w="2700" w:type="dxa"/>
          </w:tcPr>
          <w:p>
            <w:r>
              <w:rPr>
                <w:rFonts w:ascii="Courier New" w:hAnsi="Courier New"/>
                <w:sz w:val="18"/>
                <w:szCs w:val="18"/>
                <w:shd w:val="clear" w:color="auto" w:fill="EBEBEB"/>
              </w:rPr>
              <w:t xml:space="preserve">ignoretype:&lt;types&gt;</w:t>
            </w:r>
          </w:p>
        </w:tc>
        <w:tc>
          <w:tcPr>
            <w:tcW w:w="6300" w:type="dxa"/>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shd w:val="clear" w:color="auto" w:fill="F5F5F5"/>
          </w:tcPr>
          <w:p>
            <w:r>
              <w:rPr>
                <w:rFonts w:ascii="Courier New" w:hAnsi="Courier New"/>
                <w:sz w:val="18"/>
                <w:szCs w:val="18"/>
                <w:shd w:val="clear" w:color="auto" w:fill="EBEBEB"/>
              </w:rPr>
              <w:t xml:space="preserve">ignoremodality:&lt;modalities&gt;</w:t>
            </w:r>
          </w:p>
        </w:tc>
        <w:tc>
          <w:tcPr>
            <w:tcW w:w="6300" w:type="dxa"/>
            <w:shd w:val="clear" w:color="auto" w:fill="F5F5F5"/>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tcPr>
          <w:p>
            <w:r>
              <w:rPr>
                <w:rFonts w:ascii="Courier New" w:hAnsi="Courier New"/>
                <w:sz w:val="18"/>
                <w:szCs w:val="18"/>
                <w:shd w:val="clear" w:color="auto" w:fill="EBEBEB"/>
              </w:rPr>
              <w:t xml:space="preserve">maskrows:&lt;n&gt;</w:t>
            </w:r>
          </w:p>
        </w:tc>
        <w:tc>
          <w:tcPr>
            <w:tcW w:w="6300" w:type="dxa"/>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shd w:val="clear" w:color="auto" w:fill="F5F5F5"/>
          </w:tcPr>
          <w:p>
            <w:r>
              <w:rPr>
                <w:rFonts w:ascii="Courier New" w:hAnsi="Courier New"/>
                <w:sz w:val="18"/>
                <w:szCs w:val="18"/>
                <w:shd w:val="clear" w:color="auto" w:fill="EBEBEB"/>
              </w:rPr>
              <w:t xml:space="preserve">fixvr:correct|skip|passthrough</w:t>
            </w:r>
          </w:p>
        </w:tc>
        <w:tc>
          <w:tcPr>
            <w:tcW w:w="6300" w:type="dxa"/>
            <w:shd w:val="clear" w:color="auto" w:fill="F5F5F5"/>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tcPr>
          <w:p>
            <w:r>
              <w:rPr>
                <w:rFonts w:ascii="Courier New" w:hAnsi="Courier New"/>
                <w:sz w:val="18"/>
                <w:szCs w:val="18"/>
                <w:shd w:val="clear" w:color="auto" w:fill="EBEBEB"/>
              </w:rPr>
              <w:t xml:space="preserve">workers:&lt;n&gt;</w:t>
            </w:r>
          </w:p>
        </w:tc>
        <w:tc>
          <w:tcPr>
            <w:tcW w:w="6300" w:type="dxa"/>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shd w:val="clear" w:color="auto" w:fill="F5F5F5"/>
          </w:tcPr>
          <w:p>
            <w:r>
              <w:rPr>
                <w:rFonts w:ascii="Courier New" w:hAnsi="Courier New"/>
                <w:sz w:val="18"/>
                <w:szCs w:val="18"/>
                <w:shd w:val="clear" w:color="auto" w:fill="EBEBEB"/>
              </w:rPr>
              <w:t xml:space="preserve">zip:true</w:t>
            </w:r>
          </w:p>
        </w:tc>
        <w:tc>
          <w:tcPr>
            <w:tcW w:w="6300" w:type="dxa"/>
            <w:shd w:val="clear" w:color="auto" w:fill="F5F5F5"/>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tcPr>
          <w:p>
            <w:r>
              <w:rPr>
                <w:rFonts w:ascii="Courier New" w:hAnsi="Courier New"/>
                <w:sz w:val="18"/>
                <w:szCs w:val="18"/>
                <w:shd w:val="clear" w:color="auto" w:fill="EBEBEB"/>
              </w:rPr>
              <w:t xml:space="preserve">dicomdir:true</w:t>
            </w:r>
          </w:p>
        </w:tc>
        <w:tc>
          <w:tcPr>
            <w:tcW w:w="6300" w:type="dxa"/>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shd w:val="clear" w:color="auto" w:fill="F5F5F5"/>
          </w:tcPr>
          <w:p>
            <w:r>
              <w:rPr>
                <w:rFonts w:ascii="Courier New" w:hAnsi="Courier New"/>
                <w:sz w:val="18"/>
                <w:szCs w:val="18"/>
                <w:shd w:val="clear" w:color="auto" w:fill="EBEBEB"/>
              </w:rPr>
              <w:t xml:space="preserve">profile:&lt;name&gt;</w:t>
            </w:r>
          </w:p>
        </w:tc>
        <w:tc>
          <w:tcPr>
            <w:tcW w:w="6300" w:type="dxa"/>
            <w:shd w:val="clear" w:color="auto" w:fill="F5F5F5"/>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tcPr>
          <w:p>
            <w:r>
              <w:rPr>
                <w:rFonts w:ascii="Courier New" w:hAnsi="Courier New"/>
                <w:sz w:val="18"/>
                <w:szCs w:val="18"/>
                <w:shd w:val="clear" w:color="auto" w:fill="EBEBEB"/>
              </w:rPr>
              <w:t xml:space="preserve">errorlog:txt|csv|json</w:t>
            </w:r>
          </w:p>
        </w:tc>
        <w:tc>
          <w:tcPr>
            <w:tcW w:w="6300" w:type="dxa"/>
          </w:tcPr>
          <w:p>
            <w:r>
              <w:t xml:space="preserve">When one or more files fail, write the detailed per-file error messages to an </w:t>
            </w:r>
            <w:r>
              <w:rPr>
                <w:rFonts w:ascii="Courier New" w:hAnsi="Courier New"/>
                <w:sz w:val="18"/>
                <w:szCs w:val="18"/>
                <w:shd w:val="clear" w:color="auto" w:fill="EBEBEB"/>
              </w:rPr>
              <w:t xml:space="preserve">ERROR.&lt;ext&gt;</w:t>
            </w:r>
            <w:r>
              <w:t xml:space="preserve"> file in the root of the output directory instead of the console, in the chosen format. Without this parameter, the details print to the console. See the Error Handling subsection.</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 or remap UIDs (if </w:t>
      </w:r>
      <w:r>
        <w:rPr>
          <w:rFonts w:ascii="Courier New" w:hAnsi="Courier New"/>
          <w:sz w:val="18"/>
          <w:szCs w:val="18"/>
          <w:shd w:val="clear" w:color="auto" w:fill="EBEBEB"/>
        </w:rPr>
        <w:t xml:space="preserve">remapuids:true</w:t>
      </w:r>
      <w:r>
        <w:t xml:space="preserve">)</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Error Handling</w:t>
      </w:r>
    </w:p>
    <w:p>
      <w:r>
        <w:t xml:space="preserve">Processing is resilient: a file that cannot be read, parsed, or written is recorded as a failure and skipped, and the run continues with the remaining files. One bad file never aborts an entire batch.</w:t>
      </w:r>
    </w:p>
    <w:p>
      <w:r>
        <w:t xml:space="preserve">On completion a summary is always printed in the form </w:t>
      </w:r>
      <w:r>
        <w:rPr>
          <w:rFonts w:ascii="Courier New" w:hAnsi="Courier New"/>
          <w:sz w:val="18"/>
          <w:szCs w:val="18"/>
          <w:shd w:val="clear" w:color="auto" w:fill="EBEBEB"/>
        </w:rPr>
        <w:t xml:space="preserve">N file(s) processed, M file(s) failed</w:t>
      </w:r>
      <w:r>
        <w:t xml:space="preserve"> (the failed clause appears only when at least one file failed). When any file fails, the command exits with a non-zero status so scripts and pipelines can detect partial failures.</w:t>
      </w:r>
    </w:p>
    <w:p>
      <w:r>
        <w:t xml:space="preserve">The detailed per-file error messages are, by default, printed to the console after the summary. Supplying </w:t>
      </w:r>
      <w:r>
        <w:rPr>
          <w:rFonts w:ascii="Courier New" w:hAnsi="Courier New"/>
          <w:sz w:val="18"/>
          <w:szCs w:val="18"/>
          <w:shd w:val="clear" w:color="auto" w:fill="EBEBEB"/>
        </w:rPr>
        <w:t xml:space="preserve">errorlog:&lt;format&gt;</w:t>
      </w:r>
      <w:r>
        <w:t xml:space="preserve"> instead redirects them into a file named </w:t>
      </w:r>
      <w:r>
        <w:rPr>
          <w:rFonts w:ascii="Courier New" w:hAnsi="Courier New"/>
          <w:sz w:val="18"/>
          <w:szCs w:val="18"/>
          <w:shd w:val="clear" w:color="auto" w:fill="EBEBEB"/>
        </w:rPr>
        <w:t xml:space="preserve">ERROR.&lt;ext&gt;</w:t>
      </w:r>
      <w:r>
        <w:t xml:space="preserve"> written in the root of the output directory (for ZIP output, alongside the archive). The file is created only when at least one file failed. Three formats are supported:</w:t>
      </w:r>
    </w:p>
    <w:p>
      <w:pPr>
        <w:pStyle w:val="ListBullet"/>
      </w:pPr>
      <w:r>
        <w:rPr>
          <w:rFonts w:ascii="Courier New" w:hAnsi="Courier New"/>
          <w:sz w:val="18"/>
          <w:szCs w:val="18"/>
          <w:shd w:val="clear" w:color="auto" w:fill="EBEBEB"/>
        </w:rPr>
        <w:t xml:space="preserve">errorlog:txt</w:t>
      </w:r>
      <w:r>
        <w:t xml:space="preserve"> — plain text: a </w:t>
      </w:r>
      <w:r>
        <w:rPr>
          <w:rFonts w:ascii="Courier New" w:hAnsi="Courier New"/>
          <w:sz w:val="18"/>
          <w:szCs w:val="18"/>
          <w:shd w:val="clear" w:color="auto" w:fill="EBEBEB"/>
        </w:rPr>
        <w:t xml:space="preserve">processed</w:t>
      </w:r>
      <w:r>
        <w:t xml:space="preserve">/</w:t>
      </w:r>
      <w:r>
        <w:rPr>
          <w:rFonts w:ascii="Courier New" w:hAnsi="Courier New"/>
          <w:sz w:val="18"/>
          <w:szCs w:val="18"/>
          <w:shd w:val="clear" w:color="auto" w:fill="EBEBEB"/>
        </w:rPr>
        <w:t xml:space="preserve">failed</w:t>
      </w:r>
      <w:r>
        <w:t xml:space="preserve"> header followed by one </w:t>
      </w:r>
      <w:r>
        <w:rPr>
          <w:rFonts w:ascii="Courier New" w:hAnsi="Courier New"/>
          <w:sz w:val="18"/>
          <w:szCs w:val="18"/>
          <w:shd w:val="clear" w:color="auto" w:fill="EBEBEB"/>
        </w:rPr>
        <w:t xml:space="preserve">file: error</w:t>
      </w:r>
      <w:r>
        <w:t xml:space="preserve"> line per failure.</w:t>
      </w:r>
    </w:p>
    <w:p>
      <w:pPr>
        <w:pStyle w:val="ListBullet"/>
      </w:pPr>
      <w:r>
        <w:rPr>
          <w:rFonts w:ascii="Courier New" w:hAnsi="Courier New"/>
          <w:sz w:val="18"/>
          <w:szCs w:val="18"/>
          <w:shd w:val="clear" w:color="auto" w:fill="EBEBEB"/>
        </w:rPr>
        <w:t xml:space="preserve">errorlog:csv</w:t>
      </w:r>
      <w:r>
        <w:t xml:space="preserve"> — comma-separated values with a </w:t>
      </w:r>
      <w:r>
        <w:rPr>
          <w:rFonts w:ascii="Courier New" w:hAnsi="Courier New"/>
          <w:sz w:val="18"/>
          <w:szCs w:val="18"/>
          <w:shd w:val="clear" w:color="auto" w:fill="EBEBEB"/>
        </w:rPr>
        <w:t xml:space="preserve">file,error</w:t>
      </w:r>
      <w:r>
        <w:t xml:space="preserve"> header row, suitable for spreadsheets.</w:t>
      </w:r>
    </w:p>
    <w:p>
      <w:pPr>
        <w:pStyle w:val="ListBullet"/>
      </w:pPr>
      <w:r>
        <w:rPr>
          <w:rFonts w:ascii="Courier New" w:hAnsi="Courier New"/>
          <w:sz w:val="18"/>
          <w:szCs w:val="18"/>
          <w:shd w:val="clear" w:color="auto" w:fill="EBEBEB"/>
        </w:rPr>
        <w:t xml:space="preserve">errorlog:json</w:t>
      </w:r>
      <w:r>
        <w:t xml:space="preserve"> — a machine-readable object with </w:t>
      </w:r>
      <w:r>
        <w:rPr>
          <w:rFonts w:ascii="Courier New" w:hAnsi="Courier New"/>
          <w:sz w:val="18"/>
          <w:szCs w:val="18"/>
          <w:shd w:val="clear" w:color="auto" w:fill="EBEBEB"/>
        </w:rPr>
        <w:t xml:space="preserve">processed</w:t>
      </w:r>
      <w:r>
        <w:t xml:space="preserve"> and </w:t>
      </w:r>
      <w:r>
        <w:rPr>
          <w:rFonts w:ascii="Courier New" w:hAnsi="Courier New"/>
          <w:sz w:val="18"/>
          <w:szCs w:val="18"/>
          <w:shd w:val="clear" w:color="auto" w:fill="EBEBEB"/>
        </w:rPr>
        <w:t xml:space="preserve">failed</w:t>
      </w:r>
      <w:r>
        <w:t xml:space="preserve"> counts and an </w:t>
      </w:r>
      <w:r>
        <w:rPr>
          <w:rFonts w:ascii="Courier New" w:hAnsi="Courier New"/>
          <w:sz w:val="18"/>
          <w:szCs w:val="18"/>
          <w:shd w:val="clear" w:color="auto" w:fill="EBEBEB"/>
        </w:rPr>
        <w:t xml:space="preserve">errors</w:t>
      </w:r>
      <w:r>
        <w:t xml:space="preserve"> array of </w:t>
      </w:r>
      <w:r>
        <w:rPr>
          <w:rFonts w:ascii="Courier New" w:hAnsi="Courier New"/>
          <w:sz w:val="18"/>
          <w:szCs w:val="18"/>
          <w:shd w:val="clear" w:color="auto" w:fill="EBEBEB"/>
        </w:rPr>
        <w:t xml:space="preserve">{file, error}</w:t>
      </w:r>
      <w:r>
        <w:t xml:space="preserve"> entries.</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output:C:\deidentified</w:t>
      </w:r>
    </w:p>
    <w:p>
      <w:pPr>
        <w:pStyle w:val="Code"/>
      </w:pPr>
      <w:r>
        <w:t xml:space="preserve">    set:PatientName=ANON set:PatientID=ANON</w:t>
      </w:r>
    </w:p>
    <w:p>
      <w:pPr>
        <w:pStyle w:val="Code"/>
      </w:pPr>
      <w:r>
        <w:t xml:space="preserve">    noprivate:true remapuids:true</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Code"/>
      </w:pPr>
      <w:r>
        <w:t xml:space="preserve">dicomtool modify input:C:\study output:C:\deidentified</w:t>
      </w:r>
    </w:p>
    <w:p>
      <w:pPr>
        <w:pStyle w:val="Code"/>
      </w:pPr>
      <w:r>
        <w:t xml:space="preserve">    profile:base-deident errorlog:json</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 [remapuids:true]</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"uid":            "9999",</w:t>
      </w:r>
    </w:p>
    <w:p>
      <w:pPr>
        <w:pStyle w:val="Code"/>
      </w:pPr>
      <w:r>
        <w:t xml:space="preserve">    "remapuids":      false,</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["8,8"],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["8,8"]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["18,1400", "18,1401"],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r>
        <w:t xml:space="preserve">The </w:t>
      </w:r>
      <w:r>
        <w:rPr>
          <w:rFonts w:ascii="Courier New" w:hAnsi="Courier New"/>
          <w:sz w:val="18"/>
          <w:szCs w:val="18"/>
          <w:shd w:val="clear" w:color="auto" w:fill="EBEBEB"/>
        </w:rPr>
        <w:t xml:space="preserve">uid:&lt;suffix&gt;</w:t>
      </w:r>
      <w:r>
        <w:t xml:space="preserve"> operation appends a numeric suffix to UIDs, leaving the original value embedded in the result. This is suitable for lightweight namespacing but is reversible and does not break linkage to the source.</w:t>
      </w:r>
    </w:p>
    <w:p>
      <w:r>
        <w:t xml:space="preserve">For de-identification, </w:t>
      </w:r>
      <w:r>
        <w:rPr>
          <w:rFonts w:ascii="Courier New" w:hAnsi="Courier New"/>
          <w:sz w:val="18"/>
          <w:szCs w:val="18"/>
          <w:shd w:val="clear" w:color="auto" w:fill="EBEBEB"/>
        </w:rPr>
        <w:t xml:space="preserve">remapuids:true</w:t>
      </w:r>
      <w:r>
        <w:t xml:space="preserve"> instead replaces each UID with a freshly generated value. Remapping uses a single shared table for the entire run, so the same source UID always maps to the same new UID in every file. This preserves the study/series/instance hierarchy and every internal reference (for example </w:t>
      </w:r>
      <w:r>
        <w:rPr>
          <w:rFonts w:ascii="Courier New" w:hAnsi="Courier New"/>
          <w:sz w:val="18"/>
          <w:szCs w:val="18"/>
          <w:shd w:val="clear" w:color="auto" w:fill="EBEBEB"/>
        </w:rPr>
        <w:t xml:space="preserve">ReferencedSOPInstanceUID</w:t>
      </w:r>
      <w:r>
        <w:t xml:space="preserve"> values nested inside sequences continue to point at the correct, remapped instances) while severing any link back to the originating system. New UIDs use the ISO </w:t>
      </w:r>
      <w:r>
        <w:rPr>
          <w:rFonts w:ascii="Courier New" w:hAnsi="Courier New"/>
          <w:sz w:val="18"/>
          <w:szCs w:val="18"/>
          <w:shd w:val="clear" w:color="auto" w:fill="EBEBEB"/>
        </w:rPr>
        <w:t xml:space="preserve">2.25</w:t>
      </w:r>
      <w:r>
        <w:t xml:space="preserve"> UUID-derived root and are unique per run; re-running the command produces a different set of UIDs.</w:t>
      </w:r>
    </w:p>
    <w:p>
      <w:r>
        <w:t xml:space="preserve">UIDs beginning with the DICOM standard root </w:t>
      </w:r>
      <w:r>
        <w:rPr>
          <w:rFonts w:ascii="Courier New" w:hAnsi="Courier New"/>
          <w:sz w:val="18"/>
          <w:szCs w:val="18"/>
          <w:shd w:val="clear" w:color="auto" w:fill="EBEBEB"/>
        </w:rPr>
        <w:t xml:space="preserve">1.2.840.10008.</w:t>
      </w:r>
      <w:r>
        <w:t xml:space="preserve"> (SOP Class UIDs, Transfer Syntax UIDs, and other well-known values), together with the Implementation Class UID (0002,0012), are never remapped because they identify the object type, encoding, and creating software rather than the patient or study. </w:t>
      </w:r>
      <w:r>
        <w:rPr>
          <w:rFonts w:ascii="Courier New" w:hAnsi="Courier New"/>
          <w:sz w:val="18"/>
          <w:szCs w:val="18"/>
          <w:shd w:val="clear" w:color="auto" w:fill="EBEBEB"/>
        </w:rPr>
        <w:t xml:space="preserve">remapuids:true</w:t>
      </w:r>
      <w:r>
        <w:t xml:space="preserve"> and </w:t>
      </w:r>
      <w:r>
        <w:rPr>
          <w:rFonts w:ascii="Courier New" w:hAnsi="Courier New"/>
          <w:sz w:val="18"/>
          <w:szCs w:val="18"/>
          <w:shd w:val="clear" w:color="auto" w:fill="EBEBEB"/>
        </w:rPr>
        <w:t xml:space="preserve">uid:&lt;suffix&gt;</w:t>
      </w:r>
      <w:r>
        <w:t xml:space="preserve"> cannot be used together.</w:t>
      </w:r>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one built-in profile. </w:t>
      </w:r>
      <w:r>
        <w:rPr>
          <w:rFonts w:ascii="Courier New" w:hAnsi="Courier New"/>
          <w:sz w:val="18"/>
          <w:szCs w:val="18"/>
          <w:shd w:val="clear" w:color="auto" w:fill="EBEBEB"/>
        </w:rPr>
        <w:t xml:space="preserve">base-deident</w:t>
      </w:r>
      <w:r>
        <w:t xml:space="preserve"> is a comprehensive de-identification baseline: it sets patient identity fields to anonymous values, masks the date of birth to year only, removes all private tags, corrects non-standard Value Representations, remaps every study/series/instance UID consistently, and removes over 130 tags commonly associated with identifying information.</w:t>
      </w:r>
    </w:p>
    <w:p>
      <w:pPr>
        <w:pStyle w:val="Code"/>
      </w:pPr>
      <w:r>
        <w:t xml:space="preserve">{</w:t>
      </w:r>
    </w:p>
    <w:p>
      <w:pPr>
        <w:pStyle w:val="Code"/>
      </w:pPr>
      <w:r>
        <w:t xml:space="preserve">  "base-deident":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"remapuids": true</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The IRAT Lab is supported by the National Institutes of Health/The National Cancer Institute P30CA006973</w:t>
    </w:r>
  </w:p>
</w:ftr>
</file>

<file path=word/header1.xml><?xml version="1.0" encoding="utf-8"?>
<w:hdr xmlns:w="http://schemas.openxmlformats.org/wordprocessingml/2006/main">
  <w:p>
    <w:pPr>
      <w:pBdr>
        <w:bottom w:val="single" w:sz="6" w:space="1" w:color="auto"/>
      </w:pBdr>
      <w:tabs>
        <w:tab w:val="right" w:pos="9360"/>
      </w:tabs>
      <w:spacing w:after="0"/>
    </w:pPr>
    <w:r>
      <w:t>dicomtool</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dicomtool Usage Manual</dc:title>
  <dc:creator>dicomtool</dc:creator>
</cp:coreProperties>
</file>