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25" w:rsidRDefault="000E3632" w:rsidP="000E3632">
      <w:pPr>
        <w:pStyle w:val="Heading1"/>
      </w:pPr>
      <w:r>
        <w:t>Lock Performance Analysis</w:t>
      </w:r>
    </w:p>
    <w:p w:rsidR="000E3632" w:rsidRDefault="000E3632" w:rsidP="000E3632"/>
    <w:p w:rsidR="000E3632" w:rsidRDefault="000E3632" w:rsidP="000E3632">
      <w:r>
        <w:t>4 Cores.</w:t>
      </w:r>
    </w:p>
    <w:p w:rsidR="000E3632" w:rsidRDefault="000E3632" w:rsidP="000E3632"/>
    <w:p w:rsidR="000E3632" w:rsidRDefault="000E3632" w:rsidP="000E3632">
      <w:proofErr w:type="gramStart"/>
      <w:r>
        <w:t xml:space="preserve">The data was created by averaging 20 runs for each lock at each </w:t>
      </w:r>
      <w:r>
        <w:rPr>
          <w:noProof/>
        </w:rPr>
        <w:drawing>
          <wp:anchor distT="0" distB="0" distL="114300" distR="114300" simplePos="0" relativeHeight="251658240" behindDoc="0" locked="0" layoutInCell="1" allowOverlap="1" wp14:anchorId="5164E392" wp14:editId="267B3148">
            <wp:simplePos x="0" y="0"/>
            <wp:positionH relativeFrom="column">
              <wp:posOffset>-685800</wp:posOffset>
            </wp:positionH>
            <wp:positionV relativeFrom="paragraph">
              <wp:posOffset>233045</wp:posOffset>
            </wp:positionV>
            <wp:extent cx="6743700" cy="3314700"/>
            <wp:effectExtent l="0" t="0" r="12700" b="127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t>problem size</w:t>
      </w:r>
      <w:proofErr w:type="gramEnd"/>
      <w:r>
        <w:t>.</w:t>
      </w:r>
    </w:p>
    <w:p w:rsidR="000E3632" w:rsidRDefault="000E3632" w:rsidP="000E3632"/>
    <w:p w:rsidR="000E3632" w:rsidRDefault="000E3632" w:rsidP="000E3632"/>
    <w:p w:rsidR="000E3632" w:rsidRDefault="000E3632" w:rsidP="000E3632">
      <w:r>
        <w:t xml:space="preserve">In the graph above, we see the performance between the numbers of attempts each lock attempts and the time it takes. The results seem fairly similar and this would be due to the fact that performance differs between locks mainly when the number of threads are used, not the raw number of attempts each thread executes. </w:t>
      </w:r>
    </w:p>
    <w:p w:rsidR="00BD5A52" w:rsidRDefault="00BD5A52" w:rsidP="000E3632">
      <w:r>
        <w:t xml:space="preserve">Another reason that TTAF </w:t>
      </w:r>
      <w:proofErr w:type="spellStart"/>
      <w:r>
        <w:t>Backoff</w:t>
      </w:r>
      <w:proofErr w:type="spellEnd"/>
      <w:r>
        <w:t xml:space="preserve"> does not perform too well is because if its extreme sensitivity to the </w:t>
      </w:r>
      <w:proofErr w:type="spellStart"/>
      <w:r>
        <w:t>minDelay</w:t>
      </w:r>
      <w:proofErr w:type="spellEnd"/>
      <w:r>
        <w:t xml:space="preserve"> and </w:t>
      </w:r>
      <w:proofErr w:type="spellStart"/>
      <w:r>
        <w:t>maxDelay</w:t>
      </w:r>
      <w:proofErr w:type="spellEnd"/>
      <w:r>
        <w:t xml:space="preserve"> </w:t>
      </w:r>
      <w:r w:rsidR="00F10111">
        <w:t>parameters.  The optimal values are extremely sensitive to the numbers of processors and their speed so it is difficult to optimize.</w:t>
      </w:r>
      <w:r>
        <w:t xml:space="preserve"> </w:t>
      </w:r>
    </w:p>
    <w:p w:rsidR="00F10111" w:rsidRDefault="00F10111" w:rsidP="000E3632"/>
    <w:p w:rsidR="00F10111" w:rsidRDefault="00F10111" w:rsidP="000E3632">
      <w:r>
        <w:rPr>
          <w:noProof/>
        </w:rPr>
        <w:lastRenderedPageBreak/>
        <w:drawing>
          <wp:anchor distT="0" distB="0" distL="114300" distR="114300" simplePos="0" relativeHeight="251659264" behindDoc="0" locked="0" layoutInCell="1" allowOverlap="1" wp14:anchorId="5ABADFC0" wp14:editId="4E26BF96">
            <wp:simplePos x="0" y="0"/>
            <wp:positionH relativeFrom="column">
              <wp:posOffset>-457200</wp:posOffset>
            </wp:positionH>
            <wp:positionV relativeFrom="paragraph">
              <wp:posOffset>0</wp:posOffset>
            </wp:positionV>
            <wp:extent cx="6515100" cy="3200400"/>
            <wp:effectExtent l="0" t="0" r="12700" b="2540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t xml:space="preserve">This graph shows the number of successful acquires between a thread’s own successful lock. As you can clearly see, the values are significantly higher in the TTAS </w:t>
      </w:r>
      <w:proofErr w:type="spellStart"/>
      <w:r>
        <w:t>backoff</w:t>
      </w:r>
      <w:proofErr w:type="spellEnd"/>
      <w:r>
        <w:t xml:space="preserve"> lock. That is due to the sensitivity of the parameters. </w:t>
      </w:r>
    </w:p>
    <w:p w:rsidR="00F10111" w:rsidRDefault="00F10111" w:rsidP="000E3632">
      <w:r>
        <w:rPr>
          <w:noProof/>
        </w:rPr>
        <w:drawing>
          <wp:anchor distT="0" distB="0" distL="114300" distR="114300" simplePos="0" relativeHeight="251660288" behindDoc="0" locked="0" layoutInCell="1" allowOverlap="1" wp14:anchorId="469B66F2" wp14:editId="52C92C34">
            <wp:simplePos x="0" y="0"/>
            <wp:positionH relativeFrom="column">
              <wp:posOffset>-457200</wp:posOffset>
            </wp:positionH>
            <wp:positionV relativeFrom="paragraph">
              <wp:posOffset>124460</wp:posOffset>
            </wp:positionV>
            <wp:extent cx="6515100" cy="3314700"/>
            <wp:effectExtent l="0" t="0" r="12700" b="1270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F10111" w:rsidRPr="000E3632" w:rsidRDefault="00F10111" w:rsidP="000E3632">
      <w:r>
        <w:t xml:space="preserve">Here is a version of the graph without the TTAS </w:t>
      </w:r>
      <w:proofErr w:type="spellStart"/>
      <w:r>
        <w:t>backoff</w:t>
      </w:r>
      <w:proofErr w:type="spellEnd"/>
      <w:r>
        <w:t>. As you can see, they are all also relatively similar. As stated before, performance differs more with a change in the number of threads instead of th</w:t>
      </w:r>
      <w:bookmarkStart w:id="0" w:name="_GoBack"/>
      <w:bookmarkEnd w:id="0"/>
      <w:r>
        <w:t>e number of attempts each thread makes.</w:t>
      </w:r>
    </w:p>
    <w:sectPr w:rsidR="00F10111" w:rsidRPr="000E3632" w:rsidSect="00AD30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632"/>
    <w:rsid w:val="000E3632"/>
    <w:rsid w:val="00A81325"/>
    <w:rsid w:val="00AD3073"/>
    <w:rsid w:val="00BD5A52"/>
    <w:rsid w:val="00F10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0A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36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3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E3632"/>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63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36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3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E3632"/>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63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ffreyng:Documents:GraphAss1Comp4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ffreyng:Documents:GraphAss1Comp40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effreyng:Documents:GraphAss1Comp4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Performance</a:t>
            </a:r>
          </a:p>
        </c:rich>
      </c:tx>
      <c:layout/>
      <c:overlay val="0"/>
    </c:title>
    <c:autoTitleDeleted val="0"/>
    <c:plotArea>
      <c:layout/>
      <c:lineChart>
        <c:grouping val="standard"/>
        <c:varyColors val="0"/>
        <c:ser>
          <c:idx val="0"/>
          <c:order val="0"/>
          <c:tx>
            <c:v>Synchronous</c:v>
          </c:tx>
          <c:marker>
            <c:symbol val="none"/>
          </c:marker>
          <c:cat>
            <c:numRef>
              <c:f>Sheet1!$B$40:$H$40</c:f>
              <c:numCache>
                <c:formatCode>General</c:formatCode>
                <c:ptCount val="7"/>
                <c:pt idx="0">
                  <c:v>100000.0</c:v>
                </c:pt>
                <c:pt idx="1">
                  <c:v>200000.0</c:v>
                </c:pt>
                <c:pt idx="2">
                  <c:v>400000.0</c:v>
                </c:pt>
                <c:pt idx="3">
                  <c:v>800000.0</c:v>
                </c:pt>
                <c:pt idx="4">
                  <c:v>1.6E6</c:v>
                </c:pt>
                <c:pt idx="5">
                  <c:v>3.2E6</c:v>
                </c:pt>
                <c:pt idx="6">
                  <c:v>6.4E6</c:v>
                </c:pt>
              </c:numCache>
            </c:numRef>
          </c:cat>
          <c:val>
            <c:numRef>
              <c:f>Sheet1!$B$41:$H$41</c:f>
              <c:numCache>
                <c:formatCode>General</c:formatCode>
                <c:ptCount val="7"/>
                <c:pt idx="0">
                  <c:v>134.0</c:v>
                </c:pt>
                <c:pt idx="1">
                  <c:v>299.8</c:v>
                </c:pt>
                <c:pt idx="2">
                  <c:v>526.65</c:v>
                </c:pt>
                <c:pt idx="3">
                  <c:v>1031.75</c:v>
                </c:pt>
                <c:pt idx="4">
                  <c:v>2039.35</c:v>
                </c:pt>
                <c:pt idx="5">
                  <c:v>4057.8</c:v>
                </c:pt>
                <c:pt idx="6">
                  <c:v>8116.0</c:v>
                </c:pt>
              </c:numCache>
            </c:numRef>
          </c:val>
          <c:smooth val="0"/>
        </c:ser>
        <c:ser>
          <c:idx val="1"/>
          <c:order val="1"/>
          <c:tx>
            <c:v>Simple</c:v>
          </c:tx>
          <c:marker>
            <c:symbol val="none"/>
          </c:marker>
          <c:cat>
            <c:numRef>
              <c:f>Sheet1!$B$40:$H$40</c:f>
              <c:numCache>
                <c:formatCode>General</c:formatCode>
                <c:ptCount val="7"/>
                <c:pt idx="0">
                  <c:v>100000.0</c:v>
                </c:pt>
                <c:pt idx="1">
                  <c:v>200000.0</c:v>
                </c:pt>
                <c:pt idx="2">
                  <c:v>400000.0</c:v>
                </c:pt>
                <c:pt idx="3">
                  <c:v>800000.0</c:v>
                </c:pt>
                <c:pt idx="4">
                  <c:v>1.6E6</c:v>
                </c:pt>
                <c:pt idx="5">
                  <c:v>3.2E6</c:v>
                </c:pt>
                <c:pt idx="6">
                  <c:v>6.4E6</c:v>
                </c:pt>
              </c:numCache>
            </c:numRef>
          </c:cat>
          <c:val>
            <c:numRef>
              <c:f>Sheet1!$B$42:$H$42</c:f>
              <c:numCache>
                <c:formatCode>General</c:formatCode>
                <c:ptCount val="7"/>
                <c:pt idx="0">
                  <c:v>118.0</c:v>
                </c:pt>
                <c:pt idx="1">
                  <c:v>233.4</c:v>
                </c:pt>
                <c:pt idx="2">
                  <c:v>456.55</c:v>
                </c:pt>
                <c:pt idx="3">
                  <c:v>901.1</c:v>
                </c:pt>
                <c:pt idx="4">
                  <c:v>1817.75</c:v>
                </c:pt>
                <c:pt idx="5">
                  <c:v>3589.55</c:v>
                </c:pt>
                <c:pt idx="6">
                  <c:v>7208.25</c:v>
                </c:pt>
              </c:numCache>
            </c:numRef>
          </c:val>
          <c:smooth val="0"/>
        </c:ser>
        <c:ser>
          <c:idx val="2"/>
          <c:order val="2"/>
          <c:tx>
            <c:strRef>
              <c:f>Sheet1!$A$43</c:f>
              <c:strCache>
                <c:ptCount val="1"/>
                <c:pt idx="0">
                  <c:v>Backoff</c:v>
                </c:pt>
              </c:strCache>
            </c:strRef>
          </c:tx>
          <c:marker>
            <c:symbol val="none"/>
          </c:marker>
          <c:cat>
            <c:numRef>
              <c:f>Sheet1!$B$40:$H$40</c:f>
              <c:numCache>
                <c:formatCode>General</c:formatCode>
                <c:ptCount val="7"/>
                <c:pt idx="0">
                  <c:v>100000.0</c:v>
                </c:pt>
                <c:pt idx="1">
                  <c:v>200000.0</c:v>
                </c:pt>
                <c:pt idx="2">
                  <c:v>400000.0</c:v>
                </c:pt>
                <c:pt idx="3">
                  <c:v>800000.0</c:v>
                </c:pt>
                <c:pt idx="4">
                  <c:v>1.6E6</c:v>
                </c:pt>
                <c:pt idx="5">
                  <c:v>3.2E6</c:v>
                </c:pt>
                <c:pt idx="6">
                  <c:v>6.4E6</c:v>
                </c:pt>
              </c:numCache>
            </c:numRef>
          </c:cat>
          <c:val>
            <c:numRef>
              <c:f>Sheet1!$B$43:$H$43</c:f>
              <c:numCache>
                <c:formatCode>General</c:formatCode>
                <c:ptCount val="7"/>
                <c:pt idx="0">
                  <c:v>136.5</c:v>
                </c:pt>
                <c:pt idx="1">
                  <c:v>272.6</c:v>
                </c:pt>
                <c:pt idx="2">
                  <c:v>520.05</c:v>
                </c:pt>
                <c:pt idx="3">
                  <c:v>1019.3</c:v>
                </c:pt>
                <c:pt idx="4">
                  <c:v>2025.1</c:v>
                </c:pt>
                <c:pt idx="5">
                  <c:v>4028.1</c:v>
                </c:pt>
                <c:pt idx="6">
                  <c:v>8123.4</c:v>
                </c:pt>
              </c:numCache>
            </c:numRef>
          </c:val>
          <c:smooth val="0"/>
        </c:ser>
        <c:ser>
          <c:idx val="3"/>
          <c:order val="3"/>
          <c:tx>
            <c:v>CLH</c:v>
          </c:tx>
          <c:marker>
            <c:symbol val="none"/>
          </c:marker>
          <c:cat>
            <c:numRef>
              <c:f>Sheet1!$B$40:$H$40</c:f>
              <c:numCache>
                <c:formatCode>General</c:formatCode>
                <c:ptCount val="7"/>
                <c:pt idx="0">
                  <c:v>100000.0</c:v>
                </c:pt>
                <c:pt idx="1">
                  <c:v>200000.0</c:v>
                </c:pt>
                <c:pt idx="2">
                  <c:v>400000.0</c:v>
                </c:pt>
                <c:pt idx="3">
                  <c:v>800000.0</c:v>
                </c:pt>
                <c:pt idx="4">
                  <c:v>1.6E6</c:v>
                </c:pt>
                <c:pt idx="5">
                  <c:v>3.2E6</c:v>
                </c:pt>
                <c:pt idx="6">
                  <c:v>6.4E6</c:v>
                </c:pt>
              </c:numCache>
            </c:numRef>
          </c:cat>
          <c:val>
            <c:numRef>
              <c:f>Sheet1!$B$44:$H$44</c:f>
              <c:numCache>
                <c:formatCode>General</c:formatCode>
                <c:ptCount val="7"/>
                <c:pt idx="0">
                  <c:v>129.6</c:v>
                </c:pt>
                <c:pt idx="1">
                  <c:v>151.5</c:v>
                </c:pt>
                <c:pt idx="2">
                  <c:v>497.6</c:v>
                </c:pt>
                <c:pt idx="3">
                  <c:v>968.8499999999996</c:v>
                </c:pt>
                <c:pt idx="4">
                  <c:v>1941.45</c:v>
                </c:pt>
                <c:pt idx="5">
                  <c:v>3818.7</c:v>
                </c:pt>
                <c:pt idx="6">
                  <c:v>7633.5</c:v>
                </c:pt>
              </c:numCache>
            </c:numRef>
          </c:val>
          <c:smooth val="0"/>
        </c:ser>
        <c:dLbls>
          <c:showLegendKey val="0"/>
          <c:showVal val="0"/>
          <c:showCatName val="0"/>
          <c:showSerName val="0"/>
          <c:showPercent val="0"/>
          <c:showBubbleSize val="0"/>
        </c:dLbls>
        <c:marker val="1"/>
        <c:smooth val="0"/>
        <c:axId val="-2076908024"/>
        <c:axId val="-2077152888"/>
      </c:lineChart>
      <c:catAx>
        <c:axId val="-2076908024"/>
        <c:scaling>
          <c:orientation val="minMax"/>
        </c:scaling>
        <c:delete val="0"/>
        <c:axPos val="b"/>
        <c:title>
          <c:tx>
            <c:rich>
              <a:bodyPr/>
              <a:lstStyle/>
              <a:p>
                <a:pPr>
                  <a:defRPr/>
                </a:pPr>
                <a:r>
                  <a:rPr lang="en-US"/>
                  <a:t>n</a:t>
                </a:r>
              </a:p>
            </c:rich>
          </c:tx>
          <c:layout/>
          <c:overlay val="0"/>
        </c:title>
        <c:numFmt formatCode="General" sourceLinked="1"/>
        <c:majorTickMark val="out"/>
        <c:minorTickMark val="none"/>
        <c:tickLblPos val="nextTo"/>
        <c:crossAx val="-2077152888"/>
        <c:crosses val="autoZero"/>
        <c:auto val="1"/>
        <c:lblAlgn val="ctr"/>
        <c:lblOffset val="100"/>
        <c:noMultiLvlLbl val="0"/>
      </c:catAx>
      <c:valAx>
        <c:axId val="-2077152888"/>
        <c:scaling>
          <c:orientation val="minMax"/>
        </c:scaling>
        <c:delete val="0"/>
        <c:axPos val="l"/>
        <c:majorGridlines/>
        <c:title>
          <c:tx>
            <c:rich>
              <a:bodyPr rot="-5400000" vert="horz"/>
              <a:lstStyle/>
              <a:p>
                <a:pPr>
                  <a:defRPr/>
                </a:pPr>
                <a:r>
                  <a:rPr lang="en-US"/>
                  <a:t>ms</a:t>
                </a:r>
              </a:p>
            </c:rich>
          </c:tx>
          <c:layout/>
          <c:overlay val="0"/>
        </c:title>
        <c:numFmt formatCode="General" sourceLinked="1"/>
        <c:majorTickMark val="out"/>
        <c:minorTickMark val="none"/>
        <c:tickLblPos val="nextTo"/>
        <c:crossAx val="-2076908024"/>
        <c:crosses val="autoZero"/>
        <c:crossBetween val="between"/>
      </c:valAx>
      <c:dTable>
        <c:showHorzBorder val="1"/>
        <c:showVertBorder val="1"/>
        <c:showOutline val="1"/>
        <c:showKeys val="0"/>
      </c:dTable>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Delayx (w/Backoff)</a:t>
            </a:r>
          </a:p>
        </c:rich>
      </c:tx>
      <c:layout/>
      <c:overlay val="0"/>
    </c:title>
    <c:autoTitleDeleted val="0"/>
    <c:plotArea>
      <c:layout/>
      <c:lineChart>
        <c:grouping val="standard"/>
        <c:varyColors val="0"/>
        <c:ser>
          <c:idx val="0"/>
          <c:order val="0"/>
          <c:tx>
            <c:v>Synchronous</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Sheet1!$B$48:$H$48</c:f>
              <c:numCache>
                <c:formatCode>General</c:formatCode>
                <c:ptCount val="7"/>
                <c:pt idx="0">
                  <c:v>55.4</c:v>
                </c:pt>
                <c:pt idx="1">
                  <c:v>57.05</c:v>
                </c:pt>
                <c:pt idx="2">
                  <c:v>68.9</c:v>
                </c:pt>
                <c:pt idx="3">
                  <c:v>98.95</c:v>
                </c:pt>
                <c:pt idx="4">
                  <c:v>110.65</c:v>
                </c:pt>
                <c:pt idx="5">
                  <c:v>113.75</c:v>
                </c:pt>
                <c:pt idx="6">
                  <c:v>125.5</c:v>
                </c:pt>
              </c:numCache>
            </c:numRef>
          </c:val>
          <c:smooth val="0"/>
        </c:ser>
        <c:ser>
          <c:idx val="1"/>
          <c:order val="1"/>
          <c:tx>
            <c:v>Simple</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Sheet1!$B$49:$H$49</c:f>
              <c:numCache>
                <c:formatCode>General</c:formatCode>
                <c:ptCount val="7"/>
                <c:pt idx="0">
                  <c:v>58.0</c:v>
                </c:pt>
                <c:pt idx="1">
                  <c:v>67.95</c:v>
                </c:pt>
                <c:pt idx="2">
                  <c:v>73.25</c:v>
                </c:pt>
                <c:pt idx="3">
                  <c:v>86.75</c:v>
                </c:pt>
                <c:pt idx="4">
                  <c:v>119.25</c:v>
                </c:pt>
                <c:pt idx="5">
                  <c:v>117.15</c:v>
                </c:pt>
                <c:pt idx="6">
                  <c:v>136.95</c:v>
                </c:pt>
              </c:numCache>
            </c:numRef>
          </c:val>
          <c:smooth val="0"/>
        </c:ser>
        <c:ser>
          <c:idx val="2"/>
          <c:order val="2"/>
          <c:tx>
            <c:v>Backoff</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Sheet1!$B$50:$H$50</c:f>
              <c:numCache>
                <c:formatCode>General</c:formatCode>
                <c:ptCount val="7"/>
                <c:pt idx="0">
                  <c:v>6887.1</c:v>
                </c:pt>
                <c:pt idx="1">
                  <c:v>9059.950000000001</c:v>
                </c:pt>
                <c:pt idx="2">
                  <c:v>11701.85</c:v>
                </c:pt>
                <c:pt idx="3">
                  <c:v>12484.1</c:v>
                </c:pt>
                <c:pt idx="4">
                  <c:v>15190.55</c:v>
                </c:pt>
                <c:pt idx="5">
                  <c:v>15502.9</c:v>
                </c:pt>
                <c:pt idx="6">
                  <c:v>19786.0</c:v>
                </c:pt>
              </c:numCache>
            </c:numRef>
          </c:val>
          <c:smooth val="0"/>
        </c:ser>
        <c:ser>
          <c:idx val="3"/>
          <c:order val="3"/>
          <c:tx>
            <c:v>CLH</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Sheet1!$B$51:$H$51</c:f>
              <c:numCache>
                <c:formatCode>General</c:formatCode>
                <c:ptCount val="7"/>
                <c:pt idx="0">
                  <c:v>56.1</c:v>
                </c:pt>
                <c:pt idx="1">
                  <c:v>64.95</c:v>
                </c:pt>
                <c:pt idx="2">
                  <c:v>89.05</c:v>
                </c:pt>
                <c:pt idx="3">
                  <c:v>95.25</c:v>
                </c:pt>
                <c:pt idx="4">
                  <c:v>118.6</c:v>
                </c:pt>
                <c:pt idx="5">
                  <c:v>114.0</c:v>
                </c:pt>
                <c:pt idx="6">
                  <c:v>113.0</c:v>
                </c:pt>
              </c:numCache>
            </c:numRef>
          </c:val>
          <c:smooth val="0"/>
        </c:ser>
        <c:dLbls>
          <c:showLegendKey val="0"/>
          <c:showVal val="0"/>
          <c:showCatName val="0"/>
          <c:showSerName val="0"/>
          <c:showPercent val="0"/>
          <c:showBubbleSize val="0"/>
        </c:dLbls>
        <c:marker val="1"/>
        <c:smooth val="0"/>
        <c:axId val="-2114428024"/>
        <c:axId val="-2114423496"/>
      </c:lineChart>
      <c:catAx>
        <c:axId val="-2114428024"/>
        <c:scaling>
          <c:orientation val="minMax"/>
        </c:scaling>
        <c:delete val="0"/>
        <c:axPos val="b"/>
        <c:title>
          <c:tx>
            <c:rich>
              <a:bodyPr/>
              <a:lstStyle/>
              <a:p>
                <a:pPr>
                  <a:defRPr/>
                </a:pPr>
                <a:r>
                  <a:rPr lang="en-US"/>
                  <a:t>n</a:t>
                </a:r>
              </a:p>
            </c:rich>
          </c:tx>
          <c:layout/>
          <c:overlay val="0"/>
        </c:title>
        <c:numFmt formatCode="General" sourceLinked="1"/>
        <c:majorTickMark val="out"/>
        <c:minorTickMark val="none"/>
        <c:tickLblPos val="nextTo"/>
        <c:crossAx val="-2114423496"/>
        <c:crosses val="autoZero"/>
        <c:auto val="1"/>
        <c:lblAlgn val="ctr"/>
        <c:lblOffset val="100"/>
        <c:noMultiLvlLbl val="0"/>
      </c:catAx>
      <c:valAx>
        <c:axId val="-2114423496"/>
        <c:scaling>
          <c:orientation val="minMax"/>
        </c:scaling>
        <c:delete val="0"/>
        <c:axPos val="l"/>
        <c:majorGridlines/>
        <c:title>
          <c:tx>
            <c:rich>
              <a:bodyPr rot="-5400000" vert="horz"/>
              <a:lstStyle/>
              <a:p>
                <a:pPr>
                  <a:defRPr/>
                </a:pPr>
                <a:r>
                  <a:rPr lang="en-US"/>
                  <a:t>#</a:t>
                </a:r>
                <a:r>
                  <a:rPr lang="en-US" baseline="0"/>
                  <a:t> of successful acquires</a:t>
                </a:r>
                <a:endParaRPr lang="en-US"/>
              </a:p>
            </c:rich>
          </c:tx>
          <c:layout/>
          <c:overlay val="0"/>
        </c:title>
        <c:numFmt formatCode="General" sourceLinked="1"/>
        <c:majorTickMark val="out"/>
        <c:minorTickMark val="none"/>
        <c:tickLblPos val="nextTo"/>
        <c:crossAx val="-2114428024"/>
        <c:crosses val="autoZero"/>
        <c:crossBetween val="between"/>
      </c:valAx>
      <c:dTable>
        <c:showHorzBorder val="1"/>
        <c:showVertBorder val="1"/>
        <c:showOutline val="1"/>
        <c:showKeys val="0"/>
      </c:dTable>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Delayx (wo/Backoff)</a:t>
            </a:r>
          </a:p>
        </c:rich>
      </c:tx>
      <c:layout/>
      <c:overlay val="0"/>
    </c:title>
    <c:autoTitleDeleted val="0"/>
    <c:plotArea>
      <c:layout/>
      <c:lineChart>
        <c:grouping val="standard"/>
        <c:varyColors val="0"/>
        <c:ser>
          <c:idx val="0"/>
          <c:order val="0"/>
          <c:tx>
            <c:v>Synchronous</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Sheet1!$B$48:$H$48</c:f>
              <c:numCache>
                <c:formatCode>General</c:formatCode>
                <c:ptCount val="7"/>
                <c:pt idx="0">
                  <c:v>55.4</c:v>
                </c:pt>
                <c:pt idx="1">
                  <c:v>57.05</c:v>
                </c:pt>
                <c:pt idx="2">
                  <c:v>68.9</c:v>
                </c:pt>
                <c:pt idx="3">
                  <c:v>98.95</c:v>
                </c:pt>
                <c:pt idx="4">
                  <c:v>110.65</c:v>
                </c:pt>
                <c:pt idx="5">
                  <c:v>113.75</c:v>
                </c:pt>
                <c:pt idx="6">
                  <c:v>125.5</c:v>
                </c:pt>
              </c:numCache>
            </c:numRef>
          </c:val>
          <c:smooth val="0"/>
        </c:ser>
        <c:ser>
          <c:idx val="1"/>
          <c:order val="1"/>
          <c:tx>
            <c:v>Simple</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Sheet1!$B$49:$H$49</c:f>
              <c:numCache>
                <c:formatCode>General</c:formatCode>
                <c:ptCount val="7"/>
                <c:pt idx="0">
                  <c:v>58.0</c:v>
                </c:pt>
                <c:pt idx="1">
                  <c:v>67.95</c:v>
                </c:pt>
                <c:pt idx="2">
                  <c:v>73.25</c:v>
                </c:pt>
                <c:pt idx="3">
                  <c:v>86.75</c:v>
                </c:pt>
                <c:pt idx="4">
                  <c:v>119.25</c:v>
                </c:pt>
                <c:pt idx="5">
                  <c:v>117.15</c:v>
                </c:pt>
                <c:pt idx="6">
                  <c:v>136.95</c:v>
                </c:pt>
              </c:numCache>
            </c:numRef>
          </c:val>
          <c:smooth val="0"/>
        </c:ser>
        <c:ser>
          <c:idx val="2"/>
          <c:order val="2"/>
          <c:tx>
            <c:v>CLH</c:v>
          </c:tx>
          <c:marker>
            <c:symbol val="none"/>
          </c:marker>
          <c:cat>
            <c:numRef>
              <c:f>Sheet1!$B$47:$H$47</c:f>
              <c:numCache>
                <c:formatCode>General</c:formatCode>
                <c:ptCount val="7"/>
                <c:pt idx="0">
                  <c:v>100000.0</c:v>
                </c:pt>
                <c:pt idx="1">
                  <c:v>200000.0</c:v>
                </c:pt>
                <c:pt idx="2">
                  <c:v>400000.0</c:v>
                </c:pt>
                <c:pt idx="3">
                  <c:v>800000.0</c:v>
                </c:pt>
                <c:pt idx="4">
                  <c:v>1.6E6</c:v>
                </c:pt>
                <c:pt idx="5">
                  <c:v>3.2E6</c:v>
                </c:pt>
                <c:pt idx="6">
                  <c:v>6.4E6</c:v>
                </c:pt>
              </c:numCache>
            </c:numRef>
          </c:cat>
          <c:val>
            <c:numRef>
              <c:f>Sheet1!$B$51:$H$51</c:f>
              <c:numCache>
                <c:formatCode>General</c:formatCode>
                <c:ptCount val="7"/>
                <c:pt idx="0">
                  <c:v>56.1</c:v>
                </c:pt>
                <c:pt idx="1">
                  <c:v>64.95</c:v>
                </c:pt>
                <c:pt idx="2">
                  <c:v>89.05</c:v>
                </c:pt>
                <c:pt idx="3">
                  <c:v>95.25</c:v>
                </c:pt>
                <c:pt idx="4">
                  <c:v>118.6</c:v>
                </c:pt>
                <c:pt idx="5">
                  <c:v>114.0</c:v>
                </c:pt>
                <c:pt idx="6">
                  <c:v>113.0</c:v>
                </c:pt>
              </c:numCache>
            </c:numRef>
          </c:val>
          <c:smooth val="0"/>
        </c:ser>
        <c:dLbls>
          <c:showLegendKey val="0"/>
          <c:showVal val="0"/>
          <c:showCatName val="0"/>
          <c:showSerName val="0"/>
          <c:showPercent val="0"/>
          <c:showBubbleSize val="0"/>
        </c:dLbls>
        <c:marker val="1"/>
        <c:smooth val="0"/>
        <c:axId val="-2072473672"/>
        <c:axId val="-2081636296"/>
      </c:lineChart>
      <c:catAx>
        <c:axId val="-2072473672"/>
        <c:scaling>
          <c:orientation val="minMax"/>
        </c:scaling>
        <c:delete val="0"/>
        <c:axPos val="b"/>
        <c:title>
          <c:tx>
            <c:rich>
              <a:bodyPr/>
              <a:lstStyle/>
              <a:p>
                <a:pPr>
                  <a:defRPr/>
                </a:pPr>
                <a:r>
                  <a:rPr lang="en-US"/>
                  <a:t>n</a:t>
                </a:r>
              </a:p>
            </c:rich>
          </c:tx>
          <c:layout/>
          <c:overlay val="0"/>
        </c:title>
        <c:numFmt formatCode="General" sourceLinked="1"/>
        <c:majorTickMark val="out"/>
        <c:minorTickMark val="none"/>
        <c:tickLblPos val="nextTo"/>
        <c:crossAx val="-2081636296"/>
        <c:crosses val="autoZero"/>
        <c:auto val="1"/>
        <c:lblAlgn val="ctr"/>
        <c:lblOffset val="100"/>
        <c:noMultiLvlLbl val="0"/>
      </c:catAx>
      <c:valAx>
        <c:axId val="-2081636296"/>
        <c:scaling>
          <c:orientation val="minMax"/>
        </c:scaling>
        <c:delete val="0"/>
        <c:axPos val="l"/>
        <c:majorGridlines/>
        <c:title>
          <c:tx>
            <c:rich>
              <a:bodyPr rot="-5400000" vert="horz"/>
              <a:lstStyle/>
              <a:p>
                <a:pPr>
                  <a:defRPr/>
                </a:pPr>
                <a:r>
                  <a:rPr lang="en-US"/>
                  <a:t># of successful acquires</a:t>
                </a:r>
              </a:p>
            </c:rich>
          </c:tx>
          <c:layout/>
          <c:overlay val="0"/>
        </c:title>
        <c:numFmt formatCode="General" sourceLinked="1"/>
        <c:majorTickMark val="out"/>
        <c:minorTickMark val="none"/>
        <c:tickLblPos val="nextTo"/>
        <c:crossAx val="-2072473672"/>
        <c:crosses val="autoZero"/>
        <c:crossBetween val="between"/>
      </c:valAx>
      <c:dTable>
        <c:showHorzBorder val="1"/>
        <c:showVertBorder val="1"/>
        <c:showOutline val="1"/>
        <c:showKeys val="0"/>
      </c:dTable>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175</Words>
  <Characters>1001</Characters>
  <Application>Microsoft Macintosh Word</Application>
  <DocSecurity>0</DocSecurity>
  <Lines>8</Lines>
  <Paragraphs>2</Paragraphs>
  <ScaleCrop>false</ScaleCrop>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cp:revision>
  <dcterms:created xsi:type="dcterms:W3CDTF">2014-09-28T02:25:00Z</dcterms:created>
  <dcterms:modified xsi:type="dcterms:W3CDTF">2014-09-28T03:03:00Z</dcterms:modified>
</cp:coreProperties>
</file>