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ISO</w:t>
      </w:r>
      <w:r>
        <w:t xml:space="preserve"> </w:t>
      </w:r>
      <w:r>
        <w:t xml:space="preserve">10993-5</w:t>
      </w:r>
      <w:r>
        <w:t xml:space="preserve"> </w:t>
      </w:r>
      <w:r>
        <w:t xml:space="preserve">MEM</w:t>
      </w:r>
      <w:r>
        <w:t xml:space="preserve"> </w:t>
      </w:r>
      <w:r>
        <w:t xml:space="preserve">Elution</w:t>
      </w:r>
      <w:r>
        <w:t xml:space="preserve"> </w:t>
      </w:r>
      <w:r>
        <w:t xml:space="preserve">Test</w:t>
      </w:r>
      <w:r>
        <w:t xml:space="preserve"> </w:t>
      </w:r>
      <w:r>
        <w:t xml:space="preserve">Report</w:t>
      </w:r>
    </w:p>
    <w:p>
      <w:pPr>
        <w:pStyle w:val="Subtitle"/>
      </w:pPr>
      <w:r>
        <w:t xml:space="preserve">Assessment</w:t>
      </w:r>
      <w:r>
        <w:t xml:space="preserve"> </w:t>
      </w:r>
      <w:r>
        <w:t xml:space="preserve">of</w:t>
      </w:r>
      <w:r>
        <w:t xml:space="preserve"> </w:t>
      </w:r>
      <w:r>
        <w:t xml:space="preserve">Dehydrated</w:t>
      </w:r>
      <w:r>
        <w:t xml:space="preserve"> </w:t>
      </w:r>
      <w:r>
        <w:t xml:space="preserve">Boulders</w:t>
      </w:r>
    </w:p>
    <w:p>
      <w:pPr>
        <w:pStyle w:val="Date"/>
      </w:pPr>
      <w:r>
        <w:t xml:space="preserve">September</w:t>
      </w:r>
      <w:r>
        <w:t xml:space="preserve"> </w:t>
      </w:r>
      <w:r>
        <w:t xml:space="preserve">22,</w:t>
      </w:r>
      <w:r>
        <w:t xml:space="preserve"> </w:t>
      </w:r>
      <w:r>
        <w:t xml:space="preserve">2024</w:t>
      </w:r>
    </w:p>
    <w:p>
      <w:pPr>
        <w:pStyle w:val="AbstractTitle"/>
      </w:pPr>
      <w:r>
        <w:t xml:space="preserve">Abstract</w:t>
      </w:r>
    </w:p>
    <w:p>
      <w:pPr>
        <w:pStyle w:val="Abstract"/>
      </w:pPr>
      <w:r>
        <w:t xml:space="preserve">This</w:t>
      </w:r>
      <w:r>
        <w:t xml:space="preserve"> </w:t>
      </w:r>
      <w:r>
        <w:t xml:space="preserve">report</w:t>
      </w:r>
      <w:r>
        <w:t xml:space="preserve"> </w:t>
      </w:r>
      <w:r>
        <w:t xml:space="preserve">summarizes</w:t>
      </w:r>
      <w:r>
        <w:t xml:space="preserve"> </w:t>
      </w:r>
      <w:r>
        <w:t xml:space="preserve">the</w:t>
      </w:r>
      <w:r>
        <w:t xml:space="preserve"> </w:t>
      </w:r>
      <w:r>
        <w:t xml:space="preserve">results</w:t>
      </w:r>
      <w:r>
        <w:t xml:space="preserve"> </w:t>
      </w:r>
      <w:r>
        <w:t xml:space="preserve">of</w:t>
      </w:r>
      <w:r>
        <w:t xml:space="preserve"> </w:t>
      </w:r>
      <w:r>
        <w:t xml:space="preserve">the</w:t>
      </w:r>
      <w:r>
        <w:t xml:space="preserve"> </w:t>
      </w:r>
      <w:r>
        <w:t xml:space="preserve">MEM</w:t>
      </w:r>
      <w:r>
        <w:t xml:space="preserve"> </w:t>
      </w:r>
      <w:r>
        <w:t xml:space="preserve">Elution</w:t>
      </w:r>
      <w:r>
        <w:t xml:space="preserve"> </w:t>
      </w:r>
      <w:r>
        <w:t xml:space="preserve">assay</w:t>
      </w:r>
      <w:r>
        <w:t xml:space="preserve"> </w:t>
      </w:r>
      <w:r>
        <w:t xml:space="preserve">for</w:t>
      </w:r>
      <w:r>
        <w:t xml:space="preserve"> </w:t>
      </w:r>
      <w:r>
        <w:t xml:space="preserve">the</w:t>
      </w:r>
      <w:r>
        <w:t xml:space="preserve"> </w:t>
      </w:r>
      <w:r>
        <w:t xml:space="preserve">cytotoxicity</w:t>
      </w:r>
      <w:r>
        <w:t xml:space="preserve"> </w:t>
      </w:r>
      <w:r>
        <w:t xml:space="preserve">testing</w:t>
      </w:r>
      <w:r>
        <w:t xml:space="preserve"> </w:t>
      </w:r>
      <w:r>
        <w:t xml:space="preserve">of</w:t>
      </w:r>
      <w:r>
        <w:t xml:space="preserve"> </w:t>
      </w:r>
      <w:r>
        <w:t xml:space="preserve">Dehydrated</w:t>
      </w:r>
      <w:r>
        <w:t xml:space="preserve"> </w:t>
      </w:r>
      <w:r>
        <w:t xml:space="preserve">Boulders.</w:t>
      </w:r>
      <w:r>
        <w:t xml:space="preserve"> </w:t>
      </w:r>
      <w:r>
        <w:t xml:space="preserve">The</w:t>
      </w:r>
      <w:r>
        <w:t xml:space="preserve"> </w:t>
      </w:r>
      <w:r>
        <w:t xml:space="preserve">purpose</w:t>
      </w:r>
      <w:r>
        <w:t xml:space="preserve"> </w:t>
      </w:r>
      <w:r>
        <w:t xml:space="preserve">of</w:t>
      </w:r>
      <w:r>
        <w:t xml:space="preserve"> </w:t>
      </w:r>
      <w:r>
        <w:t xml:space="preserve">this</w:t>
      </w:r>
      <w:r>
        <w:t xml:space="preserve"> </w:t>
      </w:r>
      <w:r>
        <w:t xml:space="preserve">test</w:t>
      </w:r>
      <w:r>
        <w:t xml:space="preserve"> </w:t>
      </w:r>
      <w:r>
        <w:t xml:space="preserve">is</w:t>
      </w:r>
      <w:r>
        <w:t xml:space="preserve"> </w:t>
      </w:r>
      <w:r>
        <w:t xml:space="preserve">to</w:t>
      </w:r>
      <w:r>
        <w:t xml:space="preserve"> </w:t>
      </w:r>
      <w:r>
        <w:t xml:space="preserve">assess</w:t>
      </w:r>
      <w:r>
        <w:t xml:space="preserve"> </w:t>
      </w:r>
      <w:r>
        <w:t xml:space="preserve">the</w:t>
      </w:r>
      <w:r>
        <w:t xml:space="preserve"> </w:t>
      </w:r>
      <w:r>
        <w:t xml:space="preserve">cytotoxic</w:t>
      </w:r>
      <w:r>
        <w:t xml:space="preserve"> </w:t>
      </w:r>
      <w:r>
        <w:t xml:space="preserve">potential</w:t>
      </w:r>
      <w:r>
        <w:t xml:space="preserve"> </w:t>
      </w:r>
      <w:r>
        <w:t xml:space="preserve">of</w:t>
      </w:r>
      <w:r>
        <w:t xml:space="preserve"> </w:t>
      </w:r>
      <w:r>
        <w:t xml:space="preserve">the</w:t>
      </w:r>
      <w:r>
        <w:t xml:space="preserve"> </w:t>
      </w:r>
      <w:r>
        <w:t xml:space="preserve">test</w:t>
      </w:r>
      <w:r>
        <w:t xml:space="preserve"> </w:t>
      </w:r>
      <w:r>
        <w:t xml:space="preserve">article</w:t>
      </w:r>
      <w:r>
        <w:t xml:space="preserve"> </w:t>
      </w:r>
      <w:r>
        <w:t xml:space="preserve">to</w:t>
      </w:r>
      <w:r>
        <w:t xml:space="preserve"> </w:t>
      </w:r>
      <w:r>
        <w:t xml:space="preserve">determine</w:t>
      </w:r>
      <w:r>
        <w:t xml:space="preserve"> </w:t>
      </w:r>
      <w:r>
        <w:t xml:space="preserve">if</w:t>
      </w:r>
      <w:r>
        <w:t xml:space="preserve"> </w:t>
      </w:r>
      <w:r>
        <w:t xml:space="preserve">the</w:t>
      </w:r>
      <w:r>
        <w:t xml:space="preserve"> </w:t>
      </w:r>
      <w:r>
        <w:t xml:space="preserve">material</w:t>
      </w:r>
      <w:r>
        <w:t xml:space="preserve"> </w:t>
      </w:r>
      <w:r>
        <w:t xml:space="preserve">exhibits</w:t>
      </w:r>
      <w:r>
        <w:t xml:space="preserve"> </w:t>
      </w:r>
      <w:r>
        <w:t xml:space="preserve">any</w:t>
      </w:r>
      <w:r>
        <w:t xml:space="preserve"> </w:t>
      </w:r>
      <w:r>
        <w:t xml:space="preserve">toxic</w:t>
      </w:r>
      <w:r>
        <w:t xml:space="preserve"> </w:t>
      </w:r>
      <w:r>
        <w:t xml:space="preserve">effects</w:t>
      </w:r>
      <w:r>
        <w:t xml:space="preserve"> </w:t>
      </w:r>
      <w:r>
        <w:t xml:space="preserve">on</w:t>
      </w:r>
      <w:r>
        <w:t xml:space="preserve"> </w:t>
      </w:r>
      <w:r>
        <w:t xml:space="preserve">mammalian</w:t>
      </w:r>
      <w:r>
        <w:t xml:space="preserve"> </w:t>
      </w:r>
      <w:r>
        <w:t xml:space="preserve">cells.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bookmarkStart w:id="20" w:name="quality-assurance-statement"/>
    <w:p>
      <w:pPr>
        <w:pStyle w:val="Heading2"/>
      </w:pPr>
      <w:r>
        <w:t xml:space="preserve">Quality Assurance Statement</w:t>
      </w:r>
    </w:p>
    <w:p>
      <w:pPr>
        <w:pStyle w:val="FirstParagraph"/>
      </w:pPr>
      <w:r>
        <w:t xml:space="preserve">The Quality Assurance Unit inspected/audited this study in compliance</w:t>
      </w:r>
      <w:r>
        <w:t xml:space="preserve"> </w:t>
      </w:r>
      <w:r>
        <w:t xml:space="preserve">with the following regulations:</w:t>
      </w:r>
    </w:p>
    <w:p>
      <w:pPr>
        <w:pStyle w:val="BodyText"/>
      </w:pPr>
      <w:r>
        <w:rPr>
          <w:bCs/>
          <w:b/>
        </w:rPr>
        <w:t xml:space="preserve">Good Laboratory Practice for Nonclinical Laboratory Studies, Title 21</w:t>
      </w:r>
      <w:r>
        <w:rPr>
          <w:bCs/>
          <w:b/>
        </w:rPr>
        <w:t xml:space="preserve"> </w:t>
      </w:r>
      <w:r>
        <w:rPr>
          <w:bCs/>
          <w:b/>
        </w:rPr>
        <w:t xml:space="preserve">of the Code of Federal Regulations, Part 58 (21 CFR Part 58)</w:t>
      </w:r>
    </w:p>
    <w:bookmarkEnd w:id="20"/>
    <w:bookmarkStart w:id="21" w:name="inspections-overview"/>
    <w:p>
      <w:pPr>
        <w:pStyle w:val="Heading2"/>
      </w:pPr>
      <w:r>
        <w:t xml:space="preserve">Inspections Overview</w:t>
      </w:r>
    </w:p>
    <w:p>
      <w:pPr>
        <w:pStyle w:val="FirstParagraph"/>
      </w:pPr>
      <w:r>
        <w:t xml:space="preserve">The Quality Assurance Unit conducted inspections on the following dates.</w:t>
      </w:r>
      <w:r>
        <w:t xml:space="preserve"> </w:t>
      </w:r>
      <w:r>
        <w:t xml:space="preserve">The findings were reported to the Study Director. The final report was</w:t>
      </w:r>
      <w:r>
        <w:t xml:space="preserve"> </w:t>
      </w:r>
      <w:r>
        <w:t xml:space="preserve">reviewed by the Quality Assurance Unit. The final report accurately</w:t>
      </w:r>
      <w:r>
        <w:t xml:space="preserve"> </w:t>
      </w:r>
      <w:r>
        <w:t xml:space="preserve">describes the test methods in accordance with standard operating</w:t>
      </w:r>
      <w:r>
        <w:t xml:space="preserve"> </w:t>
      </w:r>
      <w:r>
        <w:t xml:space="preserve">procedures, and the results are consistent with raw data from</w:t>
      </w:r>
      <w:r>
        <w:t xml:space="preserve"> </w:t>
      </w:r>
      <w:r>
        <w:t xml:space="preserve">non-clinical studies conducted according to the study protocol.</w:t>
      </w:r>
    </w:p>
    <w:tbl>
      <w:tblPr>
        <w:tblStyle w:val="Table"/>
        <w:tblW w:type="pct" w:w="5000"/>
        <w:tblLook w:firstRow="1" w:lastRow="0" w:firstColumn="0" w:lastColumn="0" w:noHBand="0" w:noVBand="0" w:val="0020"/>
        <w:jc w:val="start"/>
        <w:tblLayout w:type="fixed"/>
      </w:tblPr>
      <w:tblGrid>
        <w:gridCol w:w="1926"/>
        <w:gridCol w:w="1926"/>
        <w:gridCol w:w="1926"/>
        <w:gridCol w:w="2140"/>
      </w:tblGrid>
      <w:tr>
        <w:trPr>
          <w:tblHeader w:val="true"/>
        </w:trPr>
        <w:tc>
          <w:tcPr/>
          <w:p>
            <w:pPr>
              <w:pStyle w:val="Compact"/>
              <w:jc w:val="left"/>
            </w:pPr>
            <w:r>
              <w:t xml:space="preserve">Inspection</w:t>
            </w:r>
          </w:p>
        </w:tc>
        <w:tc>
          <w:tcPr/>
          <w:p>
            <w:pPr>
              <w:pStyle w:val="Compact"/>
              <w:jc w:val="left"/>
            </w:pPr>
            <w:r>
              <w:t xml:space="preserve">Date of Inspection</w:t>
            </w:r>
          </w:p>
        </w:tc>
        <w:tc>
          <w:tcPr/>
          <w:p>
            <w:pPr>
              <w:pStyle w:val="Compact"/>
              <w:jc w:val="left"/>
            </w:pPr>
            <w:r>
              <w:t xml:space="preserve">Performed by</w:t>
            </w:r>
          </w:p>
        </w:tc>
        <w:tc>
          <w:tcPr/>
          <w:p>
            <w:pPr>
              <w:pStyle w:val="Compact"/>
              <w:jc w:val="left"/>
            </w:pPr>
            <w:r>
              <w:t xml:space="preserve">Date Reported to Study Director</w:t>
            </w:r>
          </w:p>
        </w:tc>
      </w:tr>
      <w:tr>
        <w:tc>
          <w:tcPr/>
          <w:p>
            <w:pPr>
              <w:pStyle w:val="Compact"/>
              <w:jc w:val="left"/>
            </w:pPr>
            <w:r>
              <w:t xml:space="preserve">Study Protocol</w:t>
            </w:r>
          </w:p>
        </w:tc>
        <w:tc>
          <w:tcPr/>
          <w:p>
            <w:pPr>
              <w:pStyle w:val="Compact"/>
              <w:jc w:val="left"/>
            </w:pPr>
            <w:r>
              <w:t xml:space="preserve">2024-09-07</w:t>
            </w:r>
          </w:p>
        </w:tc>
        <w:tc>
          <w:tcPr/>
          <w:p>
            <w:pPr>
              <w:pStyle w:val="Compact"/>
              <w:jc w:val="left"/>
            </w:pPr>
            <w:r>
              <w:t xml:space="preserve">Mr. Bugs Bunny</w:t>
            </w:r>
          </w:p>
        </w:tc>
        <w:tc>
          <w:tcPr/>
          <w:p>
            <w:pPr>
              <w:pStyle w:val="Compact"/>
              <w:jc w:val="left"/>
            </w:pPr>
            <w:r>
              <w:t xml:space="preserve">2024-09-07</w:t>
            </w:r>
          </w:p>
        </w:tc>
      </w:tr>
      <w:tr>
        <w:tc>
          <w:tcPr/>
          <w:p>
            <w:pPr>
              <w:pStyle w:val="Compact"/>
              <w:jc w:val="left"/>
            </w:pPr>
            <w:r>
              <w:t xml:space="preserve">Study Procedure</w:t>
            </w:r>
          </w:p>
        </w:tc>
        <w:tc>
          <w:tcPr/>
          <w:p>
            <w:pPr>
              <w:pStyle w:val="Compact"/>
              <w:jc w:val="left"/>
            </w:pPr>
            <w:r>
              <w:t xml:space="preserve">2024-09-11</w:t>
            </w:r>
          </w:p>
        </w:tc>
        <w:tc>
          <w:tcPr/>
          <w:p>
            <w:pPr>
              <w:pStyle w:val="Compact"/>
              <w:jc w:val="left"/>
            </w:pPr>
            <w:r>
              <w:t xml:space="preserve">Mr. Bugs Bunny</w:t>
            </w:r>
          </w:p>
        </w:tc>
        <w:tc>
          <w:tcPr/>
          <w:p>
            <w:pPr>
              <w:pStyle w:val="Compact"/>
              <w:jc w:val="left"/>
            </w:pPr>
            <w:r>
              <w:t xml:space="preserve">2024-09-07</w:t>
            </w:r>
          </w:p>
        </w:tc>
      </w:tr>
      <w:tr>
        <w:tc>
          <w:tcPr/>
          <w:p>
            <w:pPr>
              <w:pStyle w:val="Compact"/>
              <w:jc w:val="left"/>
            </w:pPr>
            <w:r>
              <w:t xml:space="preserve">Raw Data</w:t>
            </w:r>
          </w:p>
        </w:tc>
        <w:tc>
          <w:tcPr/>
          <w:p>
            <w:pPr>
              <w:pStyle w:val="Compact"/>
              <w:jc w:val="left"/>
            </w:pPr>
            <w:r>
              <w:t xml:space="preserve">2024-09-14</w:t>
            </w:r>
          </w:p>
        </w:tc>
        <w:tc>
          <w:tcPr/>
          <w:p>
            <w:pPr>
              <w:pStyle w:val="Compact"/>
              <w:jc w:val="left"/>
            </w:pPr>
            <w:r>
              <w:t xml:space="preserve">Mr. Bugs Bunny</w:t>
            </w:r>
          </w:p>
        </w:tc>
        <w:tc>
          <w:tcPr/>
          <w:p>
            <w:pPr>
              <w:pStyle w:val="Compact"/>
              <w:jc w:val="left"/>
            </w:pPr>
            <w:r>
              <w:t xml:space="preserve">2024-09-14</w:t>
            </w:r>
          </w:p>
        </w:tc>
      </w:tr>
      <w:tr>
        <w:tc>
          <w:tcPr/>
          <w:p>
            <w:pPr>
              <w:pStyle w:val="Compact"/>
              <w:jc w:val="left"/>
            </w:pPr>
            <w:r>
              <w:t xml:space="preserve">Final Report</w:t>
            </w:r>
          </w:p>
        </w:tc>
        <w:tc>
          <w:tcPr/>
          <w:p>
            <w:pPr>
              <w:pStyle w:val="Compact"/>
              <w:jc w:val="left"/>
            </w:pPr>
            <w:r>
              <w:t xml:space="preserve">2024-09-15</w:t>
            </w:r>
          </w:p>
        </w:tc>
        <w:tc>
          <w:tcPr/>
          <w:p>
            <w:pPr>
              <w:pStyle w:val="Compact"/>
              <w:jc w:val="left"/>
            </w:pPr>
            <w:r>
              <w:t xml:space="preserve">Mr. Bugs Bunny</w:t>
            </w:r>
          </w:p>
        </w:tc>
        <w:tc>
          <w:tcPr/>
          <w:p>
            <w:pPr>
              <w:pStyle w:val="Compact"/>
              <w:jc w:val="left"/>
            </w:pPr>
            <w:r>
              <w:t xml:space="preserve">2024-09-15</w:t>
            </w:r>
          </w:p>
        </w:tc>
      </w:tr>
    </w:tbl>
    <w:p/>
    <w:tbl>
      <w:tblPr>
        <w:tblStyle w:val="Table"/>
        <w:tblW w:type="auto" w:w="0"/>
        <w:tblLook w:firstRow="0" w:lastRow="0" w:firstColumn="0" w:lastColumn="0" w:noHBand="0" w:noVBand="0" w:val="0000"/>
        <w:jc w:val="start"/>
      </w:tblPr>
      <w:tblGrid>
        <w:gridCol w:w="3960"/>
        <w:gridCol w:w="3960"/>
      </w:tblGrid>
      <w:tr>
        <w:tc>
          <w:tcPr/>
          <w:p>
            <w:pPr>
              <w:pStyle w:val="Compact"/>
            </w:pPr>
          </w:p>
        </w:tc>
        <w:tc>
          <w:tcPr/>
          <w:p>
            <w:pPr>
              <w:pStyle w:val="Compact"/>
            </w:pPr>
          </w:p>
        </w:tc>
      </w:tr>
      <w:tr>
        <w:tc>
          <w:tcPr/>
          <w:p>
            <w:pPr>
              <w:pStyle w:val="Compact"/>
              <w:jc w:val="left"/>
            </w:pPr>
            <w:r>
              <w:t xml:space="preserve">______________________</w:t>
            </w:r>
          </w:p>
        </w:tc>
        <w:tc>
          <w:tcPr/>
          <w:p>
            <w:pPr>
              <w:pStyle w:val="Compact"/>
              <w:jc w:val="left"/>
            </w:pPr>
            <w:r>
              <w:t xml:space="preserve">______________________</w:t>
            </w:r>
          </w:p>
        </w:tc>
      </w:tr>
      <w:tr>
        <w:tc>
          <w:tcPr/>
          <w:p>
            <w:pPr>
              <w:pStyle w:val="Compact"/>
              <w:jc w:val="left"/>
            </w:pPr>
            <w:r>
              <w:t xml:space="preserve">Mr. Bugs Bunny</w:t>
            </w:r>
          </w:p>
        </w:tc>
        <w:tc>
          <w:tcPr/>
          <w:p>
            <w:pPr>
              <w:pStyle w:val="Compact"/>
              <w:jc w:val="left"/>
            </w:pPr>
            <w:r>
              <w:t xml:space="preserve">Date</w:t>
            </w:r>
          </w:p>
        </w:tc>
      </w:tr>
      <w:tr>
        <w:tc>
          <w:tcPr/>
          <w:p>
            <w:pPr>
              <w:pStyle w:val="Compact"/>
              <w:jc w:val="left"/>
            </w:pPr>
            <w:r>
              <w:t xml:space="preserve">Quality Manager</w:t>
            </w:r>
          </w:p>
        </w:tc>
        <w:tc>
          <w:tcPr/>
          <w:p>
            <w:pPr>
              <w:pStyle w:val="Compact"/>
            </w:pPr>
          </w:p>
        </w:tc>
      </w:tr>
      <w:tr>
        <w:tc>
          <w:tcPr/>
          <w:p>
            <w:pPr>
              <w:pStyle w:val="Compact"/>
            </w:pPr>
          </w:p>
        </w:tc>
        <w:tc>
          <w:tcPr/>
          <w:p>
            <w:pPr>
              <w:pStyle w:val="Compact"/>
            </w:pPr>
          </w:p>
        </w:tc>
      </w:tr>
      <w:tr>
        <w:tc>
          <w:tcPr/>
          <w:p>
            <w:pPr>
              <w:pStyle w:val="Compact"/>
              <w:jc w:val="left"/>
            </w:pPr>
            <w:r>
              <w:t xml:space="preserve">______________________</w:t>
            </w:r>
          </w:p>
        </w:tc>
        <w:tc>
          <w:tcPr/>
          <w:p>
            <w:pPr>
              <w:pStyle w:val="Compact"/>
              <w:jc w:val="left"/>
            </w:pPr>
            <w:r>
              <w:t xml:space="preserve">______________________</w:t>
            </w:r>
          </w:p>
        </w:tc>
      </w:tr>
      <w:tr>
        <w:tc>
          <w:tcPr/>
          <w:p>
            <w:pPr>
              <w:pStyle w:val="Compact"/>
              <w:jc w:val="left"/>
            </w:pPr>
            <w:r>
              <w:t xml:space="preserve">Wile E. Coyote</w:t>
            </w:r>
          </w:p>
        </w:tc>
        <w:tc>
          <w:tcPr/>
          <w:p>
            <w:pPr>
              <w:pStyle w:val="Compact"/>
              <w:jc w:val="left"/>
            </w:pPr>
            <w:r>
              <w:t xml:space="preserve">Date</w:t>
            </w:r>
          </w:p>
        </w:tc>
      </w:tr>
      <w:tr>
        <w:tc>
          <w:tcPr/>
          <w:p>
            <w:pPr>
              <w:pStyle w:val="Compact"/>
              <w:jc w:val="left"/>
            </w:pPr>
            <w:r>
              <w:t xml:space="preserve">Study Director</w:t>
            </w:r>
          </w:p>
        </w:tc>
        <w:tc>
          <w:tcPr/>
          <w:p>
            <w:pPr>
              <w:pStyle w:val="Compact"/>
            </w:pPr>
          </w:p>
        </w:tc>
      </w:tr>
    </w:tbl>
    <w:p>
      <w:pPr>
        <w:pStyle w:val="BodyText"/>
      </w:pPr>
    </w:p>
    <w:bookmarkEnd w:id="21"/>
    <w:bookmarkStart w:id="22" w:name="glp-compliance-statement"/>
    <w:p>
      <w:pPr>
        <w:pStyle w:val="Heading2"/>
      </w:pPr>
      <w:r>
        <w:t xml:space="preserve">GLP Compliance Statement</w:t>
      </w:r>
    </w:p>
    <w:p>
      <w:pPr>
        <w:pStyle w:val="FirstParagraph"/>
      </w:pPr>
      <w:r>
        <w:t xml:space="preserve">This study was fully in accordance with the technical requirements of</w:t>
      </w:r>
      <w:r>
        <w:t xml:space="preserve"> </w:t>
      </w:r>
      <w:r>
        <w:t xml:space="preserve">the study protocol.</w:t>
      </w:r>
    </w:p>
    <w:p>
      <w:pPr>
        <w:pStyle w:val="BodyText"/>
      </w:pPr>
      <w:r>
        <w:t xml:space="preserve">This study was conducted in compliance with Good Laboratory Practice</w:t>
      </w:r>
      <w:r>
        <w:t xml:space="preserve"> </w:t>
      </w:r>
      <w:r>
        <w:t xml:space="preserve">(GLP) Regulation 21 CFR Part 58, U.S. Food and Drug Administration</w:t>
      </w:r>
      <w:r>
        <w:t xml:space="preserve"> </w:t>
      </w:r>
      <w:r>
        <w:t xml:space="preserve">(FDA).</w:t>
      </w:r>
    </w:p>
    <w:tbl>
      <w:tblPr>
        <w:tblStyle w:val="Table"/>
        <w:tblW w:type="pct" w:w="5000"/>
        <w:tblLook w:firstRow="0" w:lastRow="0" w:firstColumn="0" w:lastColumn="0" w:noHBand="0" w:noVBand="0" w:val="0000"/>
        <w:jc w:val="start"/>
        <w:tblLayout w:type="fixed"/>
      </w:tblPr>
      <w:tblGrid>
        <w:gridCol w:w="3346"/>
        <w:gridCol w:w="4573"/>
      </w:tblGrid>
      <w:tr>
        <w:tc>
          <w:tcPr/>
          <w:p>
            <w:pPr>
              <w:pStyle w:val="Compact"/>
              <w:jc w:val="left"/>
            </w:pPr>
            <w:r>
              <w:t xml:space="preserve">Test Article Receipt</w:t>
            </w:r>
          </w:p>
        </w:tc>
        <w:tc>
          <w:tcPr/>
          <w:p>
            <w:pPr>
              <w:pStyle w:val="Compact"/>
              <w:jc w:val="right"/>
            </w:pPr>
            <w:r>
              <w:t xml:space="preserve">2024-09-01</w:t>
            </w:r>
          </w:p>
        </w:tc>
      </w:tr>
      <w:tr>
        <w:tc>
          <w:tcPr/>
          <w:p>
            <w:pPr>
              <w:pStyle w:val="Compact"/>
              <w:jc w:val="left"/>
            </w:pPr>
            <w:r>
              <w:t xml:space="preserve">Protocol Effective Date</w:t>
            </w:r>
          </w:p>
        </w:tc>
        <w:tc>
          <w:tcPr/>
          <w:p>
            <w:pPr>
              <w:pStyle w:val="Compact"/>
              <w:jc w:val="right"/>
            </w:pPr>
            <w:r>
              <w:t xml:space="preserve">2024-09-07</w:t>
            </w:r>
          </w:p>
        </w:tc>
      </w:tr>
      <w:tr>
        <w:tc>
          <w:tcPr/>
          <w:p>
            <w:pPr>
              <w:pStyle w:val="Compact"/>
              <w:jc w:val="left"/>
            </w:pPr>
            <w:r>
              <w:t xml:space="preserve">Technical Initiation Date</w:t>
            </w:r>
          </w:p>
        </w:tc>
        <w:tc>
          <w:tcPr/>
          <w:p>
            <w:pPr>
              <w:pStyle w:val="Compact"/>
              <w:jc w:val="right"/>
            </w:pPr>
            <w:r>
              <w:t xml:space="preserve">2024-09-08</w:t>
            </w:r>
          </w:p>
        </w:tc>
      </w:tr>
      <w:tr>
        <w:tc>
          <w:tcPr/>
          <w:p>
            <w:pPr>
              <w:pStyle w:val="Compact"/>
              <w:jc w:val="left"/>
            </w:pPr>
            <w:r>
              <w:t xml:space="preserve">Technical Completion Date</w:t>
            </w:r>
          </w:p>
        </w:tc>
        <w:tc>
          <w:tcPr/>
          <w:p>
            <w:pPr>
              <w:pStyle w:val="Compact"/>
              <w:jc w:val="right"/>
            </w:pPr>
            <w:r>
              <w:t xml:space="preserve">2024-09-13</w:t>
            </w:r>
          </w:p>
        </w:tc>
      </w:tr>
      <w:tr>
        <w:tc>
          <w:tcPr/>
          <w:p>
            <w:pPr>
              <w:pStyle w:val="Compact"/>
              <w:jc w:val="left"/>
            </w:pPr>
            <w:r>
              <w:t xml:space="preserve">Final Report Completion Date</w:t>
            </w:r>
          </w:p>
        </w:tc>
        <w:tc>
          <w:tcPr/>
          <w:p>
            <w:pPr>
              <w:pStyle w:val="Compact"/>
              <w:jc w:val="right"/>
            </w:pPr>
            <w:r>
              <w:t xml:space="preserve">2024-09-15</w:t>
            </w:r>
          </w:p>
        </w:tc>
      </w:tr>
    </w:tbl>
    <w:p/>
    <w:tbl>
      <w:tblPr>
        <w:tblStyle w:val="Table"/>
        <w:tblW w:type="auto" w:w="0"/>
        <w:tblLook w:firstRow="0" w:lastRow="0" w:firstColumn="0" w:lastColumn="0" w:noHBand="0" w:noVBand="0" w:val="0000"/>
        <w:jc w:val="start"/>
      </w:tblPr>
      <w:tblGrid>
        <w:gridCol w:w="3960"/>
        <w:gridCol w:w="3960"/>
      </w:tblGrid>
      <w:tr>
        <w:tc>
          <w:tcPr/>
          <w:p>
            <w:pPr>
              <w:pStyle w:val="Compact"/>
            </w:pPr>
          </w:p>
        </w:tc>
        <w:tc>
          <w:tcPr/>
          <w:p>
            <w:pPr>
              <w:pStyle w:val="Compact"/>
            </w:pPr>
          </w:p>
        </w:tc>
      </w:tr>
      <w:tr>
        <w:tc>
          <w:tcPr/>
          <w:p>
            <w:pPr>
              <w:pStyle w:val="Compact"/>
              <w:jc w:val="left"/>
            </w:pPr>
            <w:r>
              <w:t xml:space="preserve">______________________</w:t>
            </w:r>
          </w:p>
        </w:tc>
        <w:tc>
          <w:tcPr/>
          <w:p>
            <w:pPr>
              <w:pStyle w:val="Compact"/>
              <w:jc w:val="left"/>
            </w:pPr>
            <w:r>
              <w:t xml:space="preserve">______________________</w:t>
            </w:r>
          </w:p>
        </w:tc>
      </w:tr>
      <w:tr>
        <w:tc>
          <w:tcPr/>
          <w:p>
            <w:pPr>
              <w:pStyle w:val="Compact"/>
              <w:jc w:val="left"/>
            </w:pPr>
            <w:r>
              <w:t xml:space="preserve">Mr. Bugs Bunny</w:t>
            </w:r>
          </w:p>
        </w:tc>
        <w:tc>
          <w:tcPr/>
          <w:p>
            <w:pPr>
              <w:pStyle w:val="Compact"/>
              <w:jc w:val="left"/>
            </w:pPr>
            <w:r>
              <w:t xml:space="preserve">Date</w:t>
            </w:r>
          </w:p>
        </w:tc>
      </w:tr>
      <w:tr>
        <w:tc>
          <w:tcPr/>
          <w:p>
            <w:pPr>
              <w:pStyle w:val="Compact"/>
              <w:jc w:val="left"/>
            </w:pPr>
            <w:r>
              <w:t xml:space="preserve">Quality Manager</w:t>
            </w:r>
          </w:p>
        </w:tc>
        <w:tc>
          <w:tcPr/>
          <w:p>
            <w:pPr>
              <w:pStyle w:val="Compact"/>
            </w:pPr>
          </w:p>
        </w:tc>
      </w:tr>
      <w:tr>
        <w:tc>
          <w:tcPr/>
          <w:p>
            <w:pPr>
              <w:pStyle w:val="Compact"/>
            </w:pPr>
          </w:p>
        </w:tc>
        <w:tc>
          <w:tcPr/>
          <w:p>
            <w:pPr>
              <w:pStyle w:val="Compact"/>
            </w:pPr>
          </w:p>
        </w:tc>
      </w:tr>
      <w:tr>
        <w:tc>
          <w:tcPr/>
          <w:p>
            <w:pPr>
              <w:pStyle w:val="Compact"/>
              <w:jc w:val="left"/>
            </w:pPr>
            <w:r>
              <w:t xml:space="preserve">______________________</w:t>
            </w:r>
          </w:p>
        </w:tc>
        <w:tc>
          <w:tcPr/>
          <w:p>
            <w:pPr>
              <w:pStyle w:val="Compact"/>
              <w:jc w:val="left"/>
            </w:pPr>
            <w:r>
              <w:t xml:space="preserve">______________________</w:t>
            </w:r>
          </w:p>
        </w:tc>
      </w:tr>
      <w:tr>
        <w:tc>
          <w:tcPr/>
          <w:p>
            <w:pPr>
              <w:pStyle w:val="Compact"/>
              <w:jc w:val="left"/>
            </w:pPr>
            <w:r>
              <w:t xml:space="preserve">Wile E. Coyote</w:t>
            </w:r>
          </w:p>
        </w:tc>
        <w:tc>
          <w:tcPr/>
          <w:p>
            <w:pPr>
              <w:pStyle w:val="Compact"/>
              <w:jc w:val="left"/>
            </w:pPr>
            <w:r>
              <w:t xml:space="preserve">Date</w:t>
            </w:r>
          </w:p>
        </w:tc>
      </w:tr>
      <w:tr>
        <w:tc>
          <w:tcPr/>
          <w:p>
            <w:pPr>
              <w:pStyle w:val="Compact"/>
              <w:jc w:val="left"/>
            </w:pPr>
            <w:r>
              <w:t xml:space="preserve">Study Director</w:t>
            </w:r>
          </w:p>
        </w:tc>
        <w:tc>
          <w:tcPr/>
          <w:p>
            <w:pPr>
              <w:pStyle w:val="Compact"/>
            </w:pPr>
          </w:p>
        </w:tc>
      </w:tr>
    </w:tbl>
    <w:p>
      <w:pPr>
        <w:pStyle w:val="BodyText"/>
      </w:pPr>
    </w:p>
    <w:bookmarkEnd w:id="22"/>
    <w:bookmarkStart w:id="26" w:name="summary"/>
    <w:p>
      <w:pPr>
        <w:pStyle w:val="Heading2"/>
      </w:pPr>
      <w:r>
        <w:t xml:space="preserve">Summary</w:t>
      </w:r>
    </w:p>
    <w:bookmarkStart w:id="23" w:name="test-and-control-articles"/>
    <w:p>
      <w:pPr>
        <w:pStyle w:val="Heading3"/>
      </w:pPr>
      <w:r>
        <w:t xml:space="preserve">Test and Control Articles</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rPr>
                <w:bCs/>
                <w:b/>
              </w:rPr>
              <w:t xml:space="preserve">Article Type</w:t>
            </w:r>
          </w:p>
        </w:tc>
        <w:tc>
          <w:tcPr/>
          <w:p>
            <w:pPr>
              <w:pStyle w:val="Compact"/>
              <w:jc w:val="left"/>
            </w:pPr>
            <w:r>
              <w:rPr>
                <w:bCs/>
                <w:b/>
              </w:rPr>
              <w:t xml:space="preserve">Name</w:t>
            </w:r>
          </w:p>
        </w:tc>
        <w:tc>
          <w:tcPr/>
          <w:p>
            <w:pPr>
              <w:pStyle w:val="Compact"/>
              <w:jc w:val="left"/>
            </w:pPr>
            <w:r>
              <w:rPr>
                <w:bCs/>
                <w:b/>
              </w:rPr>
              <w:t xml:space="preserve">Lot Number</w:t>
            </w:r>
          </w:p>
        </w:tc>
        <w:tc>
          <w:tcPr/>
          <w:p>
            <w:pPr>
              <w:pStyle w:val="Compact"/>
              <w:jc w:val="left"/>
            </w:pPr>
            <w:r>
              <w:rPr>
                <w:bCs/>
                <w:b/>
              </w:rPr>
              <w:t xml:space="preserve">Expiration</w:t>
            </w:r>
          </w:p>
        </w:tc>
        <w:tc>
          <w:tcPr/>
          <w:p>
            <w:pPr>
              <w:pStyle w:val="Compact"/>
              <w:jc w:val="left"/>
            </w:pPr>
            <w:r>
              <w:rPr>
                <w:bCs/>
                <w:b/>
              </w:rPr>
              <w:t xml:space="preserve">Storage</w:t>
            </w:r>
          </w:p>
        </w:tc>
      </w:tr>
      <w:tr>
        <w:tc>
          <w:tcPr/>
          <w:p>
            <w:pPr>
              <w:pStyle w:val="Compact"/>
              <w:jc w:val="left"/>
            </w:pPr>
            <w:r>
              <w:t xml:space="preserve">Test Article</w:t>
            </w:r>
          </w:p>
        </w:tc>
        <w:tc>
          <w:tcPr/>
          <w:p>
            <w:pPr>
              <w:pStyle w:val="Compact"/>
              <w:jc w:val="left"/>
            </w:pPr>
            <w:r>
              <w:t xml:space="preserve">Dehydrated Boulders</w:t>
            </w:r>
          </w:p>
        </w:tc>
        <w:tc>
          <w:tcPr/>
          <w:p>
            <w:pPr>
              <w:pStyle w:val="Compact"/>
              <w:jc w:val="left"/>
            </w:pPr>
            <w:r>
              <w:t xml:space="preserve">BB1940WSC</w:t>
            </w:r>
          </w:p>
        </w:tc>
        <w:tc>
          <w:tcPr/>
          <w:p>
            <w:pPr>
              <w:pStyle w:val="Compact"/>
              <w:jc w:val="left"/>
            </w:pPr>
            <w:r>
              <w:t xml:space="preserve">2025-12-31</w:t>
            </w:r>
          </w:p>
        </w:tc>
        <w:tc>
          <w:tcPr/>
          <w:p>
            <w:pPr>
              <w:pStyle w:val="Compact"/>
              <w:jc w:val="left"/>
            </w:pPr>
            <w:r>
              <w:t xml:space="preserve">Room temperature</w:t>
            </w:r>
          </w:p>
        </w:tc>
      </w:tr>
      <w:tr>
        <w:tc>
          <w:tcPr/>
          <w:p>
            <w:pPr>
              <w:pStyle w:val="Compact"/>
              <w:jc w:val="left"/>
            </w:pPr>
            <w:r>
              <w:t xml:space="preserve">Negative Control</w:t>
            </w:r>
          </w:p>
        </w:tc>
        <w:tc>
          <w:tcPr/>
          <w:p>
            <w:pPr>
              <w:pStyle w:val="Compact"/>
              <w:jc w:val="left"/>
            </w:pPr>
            <w:r>
              <w:t xml:space="preserve">Polyethylene Pellets</w:t>
            </w:r>
          </w:p>
        </w:tc>
        <w:tc>
          <w:tcPr/>
          <w:p>
            <w:pPr>
              <w:pStyle w:val="Compact"/>
              <w:jc w:val="left"/>
            </w:pPr>
            <w:r>
              <w:t xml:space="preserve">POLY-LOT-5678</w:t>
            </w:r>
          </w:p>
        </w:tc>
        <w:tc>
          <w:tcPr/>
          <w:p>
            <w:pPr>
              <w:pStyle w:val="Compact"/>
              <w:jc w:val="left"/>
            </w:pPr>
            <w:r>
              <w:t xml:space="preserve">2025-03-15</w:t>
            </w:r>
          </w:p>
        </w:tc>
        <w:tc>
          <w:tcPr/>
          <w:p>
            <w:pPr>
              <w:pStyle w:val="Compact"/>
              <w:jc w:val="left"/>
            </w:pPr>
            <w:r>
              <w:t xml:space="preserve">Room temperature</w:t>
            </w:r>
          </w:p>
        </w:tc>
      </w:tr>
      <w:tr>
        <w:tc>
          <w:tcPr/>
          <w:p>
            <w:pPr>
              <w:pStyle w:val="Compact"/>
              <w:jc w:val="left"/>
            </w:pPr>
            <w:r>
              <w:t xml:space="preserve">Positive Control</w:t>
            </w:r>
          </w:p>
        </w:tc>
        <w:tc>
          <w:tcPr/>
          <w:p>
            <w:pPr>
              <w:pStyle w:val="Compact"/>
              <w:jc w:val="left"/>
            </w:pPr>
            <w:r>
              <w:t xml:space="preserve">Latex</w:t>
            </w:r>
          </w:p>
        </w:tc>
        <w:tc>
          <w:tcPr/>
          <w:p>
            <w:pPr>
              <w:pStyle w:val="Compact"/>
              <w:jc w:val="left"/>
            </w:pPr>
            <w:r>
              <w:t xml:space="preserve">LATEX-LOT-1234</w:t>
            </w:r>
          </w:p>
        </w:tc>
        <w:tc>
          <w:tcPr/>
          <w:p>
            <w:pPr>
              <w:pStyle w:val="Compact"/>
              <w:jc w:val="left"/>
            </w:pPr>
            <w:r>
              <w:t xml:space="preserve">2025-06-30</w:t>
            </w:r>
          </w:p>
        </w:tc>
        <w:tc>
          <w:tcPr/>
          <w:p>
            <w:pPr>
              <w:pStyle w:val="Compact"/>
              <w:jc w:val="left"/>
            </w:pPr>
            <w:r>
              <w:t xml:space="preserve">Room temperature</w:t>
            </w:r>
          </w:p>
        </w:tc>
      </w:tr>
      <w:tr>
        <w:tc>
          <w:tcPr/>
          <w:p>
            <w:pPr>
              <w:pStyle w:val="Compact"/>
              <w:jc w:val="left"/>
            </w:pPr>
            <w:r>
              <w:t xml:space="preserve">Blank Control</w:t>
            </w:r>
          </w:p>
        </w:tc>
        <w:tc>
          <w:tcPr/>
          <w:p>
            <w:pPr>
              <w:pStyle w:val="Compact"/>
              <w:jc w:val="left"/>
            </w:pPr>
            <w:r>
              <w:t xml:space="preserve">N/A</w:t>
            </w:r>
          </w:p>
        </w:tc>
        <w:tc>
          <w:tcPr/>
          <w:p>
            <w:pPr>
              <w:pStyle w:val="Compact"/>
              <w:jc w:val="left"/>
            </w:pPr>
            <w:r>
              <w:t xml:space="preserve">—</w:t>
            </w:r>
          </w:p>
        </w:tc>
        <w:tc>
          <w:tcPr/>
          <w:p>
            <w:pPr>
              <w:pStyle w:val="Compact"/>
              <w:jc w:val="left"/>
            </w:pPr>
            <w:r>
              <w:t xml:space="preserve">N/A</w:t>
            </w:r>
          </w:p>
        </w:tc>
        <w:tc>
          <w:tcPr/>
          <w:p>
            <w:pPr>
              <w:pStyle w:val="Compact"/>
              <w:jc w:val="left"/>
            </w:pPr>
            <w:r>
              <w:t xml:space="preserve">Room temperature</w:t>
            </w:r>
          </w:p>
        </w:tc>
      </w:tr>
    </w:tbl>
    <w:bookmarkEnd w:id="23"/>
    <w:bookmarkStart w:id="24" w:name="test-method"/>
    <w:p>
      <w:pPr>
        <w:pStyle w:val="Heading3"/>
      </w:pPr>
      <w:r>
        <w:t xml:space="preserve">Test Method</w:t>
      </w:r>
    </w:p>
    <w:p>
      <w:pPr>
        <w:pStyle w:val="FirstParagraph"/>
      </w:pPr>
      <w:r>
        <w:t xml:space="preserve">Potential toxicity of test article was evaluated using the MEM Elution method in accordance with ISO 10993-5: 2009 Biological evaluation of Medical Devices—Part 5: Tests for in vitro Cytotoxicity.</w:t>
      </w:r>
      <w:r>
        <w:t xml:space="preserve"> </w:t>
      </w:r>
      <w:r>
        <w:t xml:space="preserve">Study protocol number: ACME-CYTO</w:t>
      </w:r>
    </w:p>
    <w:bookmarkEnd w:id="24"/>
    <w:bookmarkStart w:id="25" w:name="conclusion"/>
    <w:p>
      <w:pPr>
        <w:pStyle w:val="Heading3"/>
      </w:pPr>
      <w:r>
        <w:t xml:space="preserve">Conclusion</w:t>
      </w:r>
    </w:p>
    <w:p>
      <w:pPr>
        <w:pStyle w:val="FirstParagraph"/>
      </w:pPr>
      <w:r>
        <w:t xml:space="preserve">Under the conditions of this study, the test article extract did not show cytotoxic potential when testing on L929 cells.</w:t>
      </w:r>
    </w:p>
    <w:p>
      <w:pPr>
        <w:pStyle w:val="BodyText"/>
      </w:pPr>
    </w:p>
    <w:bookmarkEnd w:id="25"/>
    <w:bookmarkEnd w:id="26"/>
    <w:bookmarkStart w:id="27" w:name="purpose"/>
    <w:p>
      <w:pPr>
        <w:pStyle w:val="Heading2"/>
      </w:pPr>
      <w:r>
        <w:t xml:space="preserve">Purpose</w:t>
      </w:r>
    </w:p>
    <w:p>
      <w:pPr>
        <w:pStyle w:val="FirstParagraph"/>
      </w:pPr>
      <w:r>
        <w:t xml:space="preserve">The purpose of this test was to determine the biological reactivity of mouse fibroblast L929 cells in response to the test article—Dehydrated Boulders. This study evaluated whether the test article exhibited any toxic effects on mammalian cells under in vitro conditions. Specifically, the test assessed the cytotoxic potential to determine the safety and biocompatibility of the material when used according to its intended purpose.</w:t>
      </w:r>
    </w:p>
    <w:bookmarkEnd w:id="27"/>
    <w:bookmarkStart w:id="28" w:name="regulatory-standards"/>
    <w:p>
      <w:pPr>
        <w:pStyle w:val="Heading2"/>
      </w:pPr>
      <w:r>
        <w:t xml:space="preserve">Regulatory Standards</w:t>
      </w:r>
    </w:p>
    <w:p>
      <w:pPr>
        <w:pStyle w:val="FirstParagraph"/>
      </w:pPr>
      <w:r>
        <w:t xml:space="preserve">This study was conducted in accordance with the following regulatory standards:</w:t>
      </w:r>
    </w:p>
    <w:p>
      <w:pPr>
        <w:numPr>
          <w:ilvl w:val="0"/>
          <w:numId w:val="1001"/>
        </w:numPr>
        <w:pStyle w:val="Compact"/>
      </w:pPr>
      <w:r>
        <w:rPr>
          <w:bCs/>
          <w:b/>
        </w:rPr>
        <w:t xml:space="preserve">ISO 10993-1</w:t>
      </w:r>
      <w:r>
        <w:t xml:space="preserve">:</w:t>
      </w:r>
      <w:r>
        <w:t xml:space="preserve"> </w:t>
      </w:r>
      <w:r>
        <w:rPr>
          <w:iCs/>
          <w:i/>
        </w:rPr>
        <w:t xml:space="preserve">Evaluation and Testing within a Risk Management Process</w:t>
      </w:r>
      <w:r>
        <w:t xml:space="preserve">—General requirements for evaluating the biological impact of medical devices.</w:t>
      </w:r>
      <w:r>
        <w:br/>
      </w:r>
    </w:p>
    <w:p>
      <w:pPr>
        <w:numPr>
          <w:ilvl w:val="0"/>
          <w:numId w:val="1001"/>
        </w:numPr>
        <w:pStyle w:val="Compact"/>
      </w:pPr>
      <w:r>
        <w:rPr>
          <w:bCs/>
          <w:b/>
        </w:rPr>
        <w:t xml:space="preserve">ISO 10993-5:2009</w:t>
      </w:r>
      <w:r>
        <w:t xml:space="preserve">:</w:t>
      </w:r>
      <w:r>
        <w:t xml:space="preserve"> </w:t>
      </w:r>
      <w:r>
        <w:rPr>
          <w:iCs/>
          <w:i/>
        </w:rPr>
        <w:t xml:space="preserve">Biological Evaluation of Medical Devices—Part 5: Tests for in vitro Cytotoxicity</w:t>
      </w:r>
      <w:r>
        <w:t xml:space="preserve">—Provides guidelines for evaluating the potential cytotoxic effects of a medical device material on cells.</w:t>
      </w:r>
      <w:r>
        <w:br/>
      </w:r>
    </w:p>
    <w:p>
      <w:pPr>
        <w:numPr>
          <w:ilvl w:val="0"/>
          <w:numId w:val="1001"/>
        </w:numPr>
        <w:pStyle w:val="Compact"/>
      </w:pPr>
      <w:r>
        <w:rPr>
          <w:bCs/>
          <w:b/>
        </w:rPr>
        <w:t xml:space="preserve">ISO 10993-12</w:t>
      </w:r>
      <w:r>
        <w:t xml:space="preserve">:</w:t>
      </w:r>
      <w:r>
        <w:t xml:space="preserve"> </w:t>
      </w:r>
      <w:r>
        <w:rPr>
          <w:iCs/>
          <w:i/>
        </w:rPr>
        <w:t xml:space="preserve">Sample Preparation and Reference Materials</w:t>
      </w:r>
      <w:r>
        <w:t xml:space="preserve">—Guidelines for preparing samples and reference materials for testing to ensure consistent and reliable results.</w:t>
      </w:r>
    </w:p>
    <w:p>
      <w:pPr>
        <w:pStyle w:val="FirstParagraph"/>
      </w:pPr>
      <w:r>
        <w:t xml:space="preserve">These standards ensure that the study was conducted with the highest level of scientific rigor and consistency, providing a reliable assessment of the biological impact of the test article.</w:t>
      </w:r>
    </w:p>
    <w:bookmarkEnd w:id="28"/>
    <w:bookmarkStart w:id="29" w:name="compliance"/>
    <w:p>
      <w:pPr>
        <w:pStyle w:val="Heading2"/>
      </w:pPr>
      <w:r>
        <w:t xml:space="preserve">Compliance</w:t>
      </w:r>
    </w:p>
    <w:p>
      <w:pPr>
        <w:pStyle w:val="FirstParagraph"/>
      </w:pPr>
      <w:r>
        <w:t xml:space="preserve">This study complies with the following regulations:</w:t>
      </w:r>
    </w:p>
    <w:p>
      <w:pPr>
        <w:numPr>
          <w:ilvl w:val="0"/>
          <w:numId w:val="1002"/>
        </w:numPr>
      </w:pPr>
      <w:r>
        <w:rPr>
          <w:bCs/>
          <w:b/>
        </w:rPr>
        <w:t xml:space="preserve">Good Laboratory Practice (GLP) Regulations (21 CFR Part 58)</w:t>
      </w:r>
      <w:r>
        <w:t xml:space="preserve">: GLP standards ensure that the study is conducted with transparency, accountability, and rigorous scientific practices, guaranteeing the integrity of the study data.</w:t>
      </w:r>
    </w:p>
    <w:p>
      <w:pPr>
        <w:numPr>
          <w:ilvl w:val="0"/>
          <w:numId w:val="1002"/>
        </w:numPr>
      </w:pPr>
      <w:r>
        <w:rPr>
          <w:bCs/>
          <w:b/>
        </w:rPr>
        <w:t xml:space="preserve">ISO/IEC 17025:2017</w:t>
      </w:r>
      <w:r>
        <w:t xml:space="preserve">:</w:t>
      </w:r>
      <w:r>
        <w:t xml:space="preserve"> </w:t>
      </w:r>
      <w:r>
        <w:rPr>
          <w:iCs/>
          <w:i/>
        </w:rPr>
        <w:t xml:space="preserve">General Requirements for the Competence of Testing and Calibration Laboratories</w:t>
      </w:r>
      <w:r>
        <w:t xml:space="preserve">—ISO 17025 accreditation ensures that the testing facility is competent to perform laboratory testing with a high degree of accuracy and reliability.</w:t>
      </w:r>
    </w:p>
    <w:p>
      <w:pPr>
        <w:pStyle w:val="FirstParagraph"/>
      </w:pPr>
      <w:r>
        <w:t xml:space="preserve">Compliance with these regulations guarantees that the study data meets both legal and quality assurance requirements, ensuring the validity and credibility of the test results.</w:t>
      </w:r>
    </w:p>
    <w:p>
      <w:pPr>
        <w:pStyle w:val="BodyText"/>
      </w:pPr>
    </w:p>
    <w:bookmarkEnd w:id="29"/>
    <w:bookmarkStart w:id="34" w:name="test-and-control-articles-1"/>
    <w:p>
      <w:pPr>
        <w:pStyle w:val="Heading2"/>
      </w:pPr>
      <w:r>
        <w:t xml:space="preserve">Test and Control Articles</w:t>
      </w:r>
    </w:p>
    <w:bookmarkStart w:id="30" w:name="test-article"/>
    <w:p>
      <w:pPr>
        <w:pStyle w:val="Heading3"/>
      </w:pPr>
      <w:r>
        <w:t xml:space="preserve">Test Article</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Name</w:t>
            </w:r>
          </w:p>
        </w:tc>
        <w:tc>
          <w:tcPr/>
          <w:p>
            <w:pPr>
              <w:pStyle w:val="Compact"/>
              <w:jc w:val="left"/>
            </w:pPr>
            <w:r>
              <w:t xml:space="preserve">Dehydrated Boulders</w:t>
            </w:r>
          </w:p>
        </w:tc>
      </w:tr>
      <w:tr>
        <w:tc>
          <w:tcPr/>
          <w:p>
            <w:pPr>
              <w:pStyle w:val="Compact"/>
              <w:jc w:val="left"/>
            </w:pPr>
            <w:r>
              <w:rPr>
                <w:bCs/>
                <w:b/>
              </w:rPr>
              <w:t xml:space="preserve">Manufacturer</w:t>
            </w:r>
          </w:p>
        </w:tc>
        <w:tc>
          <w:tcPr/>
          <w:p>
            <w:pPr>
              <w:pStyle w:val="Compact"/>
              <w:jc w:val="left"/>
            </w:pPr>
            <w:r>
              <w:t xml:space="preserve">ACME Corporation</w:t>
            </w:r>
          </w:p>
        </w:tc>
      </w:tr>
      <w:tr>
        <w:tc>
          <w:tcPr/>
          <w:p>
            <w:pPr>
              <w:pStyle w:val="Compact"/>
              <w:jc w:val="left"/>
            </w:pPr>
            <w:r>
              <w:rPr>
                <w:bCs/>
                <w:b/>
              </w:rPr>
              <w:t xml:space="preserve">Batch/Lot Number</w:t>
            </w:r>
          </w:p>
        </w:tc>
        <w:tc>
          <w:tcPr/>
          <w:p>
            <w:pPr>
              <w:pStyle w:val="Compact"/>
              <w:jc w:val="left"/>
            </w:pPr>
            <w:r>
              <w:t xml:space="preserve">BB1940WSC</w:t>
            </w:r>
          </w:p>
        </w:tc>
      </w:tr>
      <w:tr>
        <w:tc>
          <w:tcPr/>
          <w:p>
            <w:pPr>
              <w:pStyle w:val="Compact"/>
              <w:jc w:val="left"/>
            </w:pPr>
            <w:r>
              <w:rPr>
                <w:bCs/>
                <w:b/>
              </w:rPr>
              <w:t xml:space="preserve">Expiration Date</w:t>
            </w:r>
          </w:p>
        </w:tc>
        <w:tc>
          <w:tcPr/>
          <w:p>
            <w:pPr>
              <w:pStyle w:val="Compact"/>
              <w:jc w:val="left"/>
            </w:pPr>
            <w:r>
              <w:t xml:space="preserve">2025-12-31</w:t>
            </w:r>
          </w:p>
        </w:tc>
      </w:tr>
      <w:tr>
        <w:tc>
          <w:tcPr/>
          <w:p>
            <w:pPr>
              <w:pStyle w:val="Compact"/>
              <w:jc w:val="left"/>
            </w:pPr>
            <w:r>
              <w:rPr>
                <w:bCs/>
                <w:b/>
              </w:rPr>
              <w:t xml:space="preserve">Storage Conditions</w:t>
            </w:r>
          </w:p>
        </w:tc>
        <w:tc>
          <w:tcPr/>
          <w:p>
            <w:pPr>
              <w:pStyle w:val="Compact"/>
              <w:jc w:val="left"/>
            </w:pPr>
            <w:r>
              <w:t xml:space="preserve">Room temperature</w:t>
            </w:r>
          </w:p>
        </w:tc>
      </w:tr>
    </w:tbl>
    <w:p>
      <w:pPr>
        <w:pStyle w:val="BodyText"/>
      </w:pPr>
      <w:r>
        <w:t xml:space="preserve">*Note** The information about the test article was supplied by the sponsor wherever applicable. The Sponsor is responsible for all test article characterization data as specified in the GLP.</w:t>
      </w:r>
    </w:p>
    <w:bookmarkEnd w:id="30"/>
    <w:bookmarkStart w:id="31" w:name="negative-control-article"/>
    <w:p>
      <w:pPr>
        <w:pStyle w:val="Heading3"/>
      </w:pPr>
      <w:r>
        <w:t xml:space="preserve">Negative Control Article</w:t>
      </w:r>
    </w:p>
    <w:tbl>
      <w:tblPr>
        <w:tblStyle w:val="Table"/>
        <w:tblW w:type="pct" w:w="5000"/>
        <w:tblLook w:firstRow="0" w:lastRow="0" w:firstColumn="0" w:lastColumn="0" w:noHBand="0" w:noVBand="0" w:val="0000"/>
        <w:jc w:val="start"/>
        <w:tblLayout w:type="fixed"/>
      </w:tblPr>
      <w:tblGrid>
        <w:gridCol w:w="2715"/>
        <w:gridCol w:w="5204"/>
      </w:tblGrid>
      <w:tr>
        <w:tc>
          <w:tcPr/>
          <w:p>
            <w:pPr>
              <w:pStyle w:val="Compact"/>
              <w:jc w:val="left"/>
            </w:pPr>
            <w:r>
              <w:rPr>
                <w:bCs/>
                <w:b/>
              </w:rPr>
              <w:t xml:space="preserve">Name</w:t>
            </w:r>
          </w:p>
        </w:tc>
        <w:tc>
          <w:tcPr/>
          <w:p>
            <w:pPr>
              <w:pStyle w:val="Compact"/>
              <w:jc w:val="left"/>
            </w:pPr>
            <w:r>
              <w:t xml:space="preserve">High-density Polyethylene (HDPE)</w:t>
            </w:r>
          </w:p>
        </w:tc>
      </w:tr>
      <w:tr>
        <w:tc>
          <w:tcPr/>
          <w:p>
            <w:pPr>
              <w:pStyle w:val="Compact"/>
              <w:jc w:val="left"/>
            </w:pPr>
            <w:r>
              <w:rPr>
                <w:bCs/>
                <w:b/>
              </w:rPr>
              <w:t xml:space="preserve">Extraction Ratio</w:t>
            </w:r>
          </w:p>
        </w:tc>
        <w:tc>
          <w:tcPr/>
          <w:p>
            <w:pPr>
              <w:pStyle w:val="Compact"/>
              <w:jc w:val="left"/>
            </w:pPr>
            <w:r>
              <w:t xml:space="preserve">3 cm²/1 mL</w:t>
            </w:r>
          </w:p>
        </w:tc>
      </w:tr>
      <w:tr>
        <w:tc>
          <w:tcPr/>
          <w:p>
            <w:pPr>
              <w:pStyle w:val="Compact"/>
              <w:jc w:val="left"/>
            </w:pPr>
            <w:r>
              <w:rPr>
                <w:bCs/>
                <w:b/>
              </w:rPr>
              <w:t xml:space="preserve">Physical State</w:t>
            </w:r>
          </w:p>
        </w:tc>
        <w:tc>
          <w:tcPr/>
          <w:p>
            <w:pPr>
              <w:pStyle w:val="Compact"/>
              <w:jc w:val="left"/>
            </w:pPr>
            <w:r>
              <w:t xml:space="preserve">Solid</w:t>
            </w:r>
          </w:p>
        </w:tc>
      </w:tr>
      <w:tr>
        <w:tc>
          <w:tcPr/>
          <w:p>
            <w:pPr>
              <w:pStyle w:val="Compact"/>
              <w:jc w:val="left"/>
            </w:pPr>
            <w:r>
              <w:rPr>
                <w:bCs/>
                <w:b/>
              </w:rPr>
              <w:t xml:space="preserve">Color</w:t>
            </w:r>
          </w:p>
        </w:tc>
        <w:tc>
          <w:tcPr/>
          <w:p>
            <w:pPr>
              <w:pStyle w:val="Compact"/>
              <w:jc w:val="left"/>
            </w:pPr>
            <w:r>
              <w:t xml:space="preserve">White</w:t>
            </w:r>
          </w:p>
        </w:tc>
      </w:tr>
      <w:tr>
        <w:tc>
          <w:tcPr/>
          <w:p>
            <w:pPr>
              <w:pStyle w:val="Compact"/>
              <w:jc w:val="left"/>
            </w:pPr>
            <w:r>
              <w:rPr>
                <w:bCs/>
                <w:b/>
              </w:rPr>
              <w:t xml:space="preserve">Storage Conditions</w:t>
            </w:r>
          </w:p>
        </w:tc>
        <w:tc>
          <w:tcPr/>
          <w:p>
            <w:pPr>
              <w:pStyle w:val="Compact"/>
              <w:jc w:val="left"/>
            </w:pPr>
            <w:r>
              <w:t xml:space="preserve">Room temperature</w:t>
            </w:r>
          </w:p>
        </w:tc>
      </w:tr>
      <w:tr>
        <w:tc>
          <w:tcPr/>
          <w:p>
            <w:pPr>
              <w:pStyle w:val="Compact"/>
              <w:jc w:val="left"/>
            </w:pPr>
            <w:r>
              <w:rPr>
                <w:bCs/>
                <w:b/>
              </w:rPr>
              <w:t xml:space="preserve">Extraction Solvent</w:t>
            </w:r>
          </w:p>
        </w:tc>
        <w:tc>
          <w:tcPr/>
          <w:p>
            <w:pPr>
              <w:pStyle w:val="Compact"/>
              <w:jc w:val="left"/>
            </w:pPr>
            <w:r>
              <w:t xml:space="preserve">MEM medium with 10% fetal bovine serum (FBS)</w:t>
            </w:r>
          </w:p>
        </w:tc>
      </w:tr>
    </w:tbl>
    <w:bookmarkEnd w:id="31"/>
    <w:bookmarkStart w:id="32" w:name="positive-control-article"/>
    <w:p>
      <w:pPr>
        <w:pStyle w:val="Heading3"/>
      </w:pPr>
      <w:r>
        <w:t xml:space="preserve">Positive Control Article</w:t>
      </w:r>
    </w:p>
    <w:tbl>
      <w:tblPr>
        <w:tblStyle w:val="Table"/>
        <w:tblW w:type="pct" w:w="5000"/>
        <w:tblLook w:firstRow="0" w:lastRow="0" w:firstColumn="0" w:lastColumn="0" w:noHBand="0" w:noVBand="0" w:val="0000"/>
        <w:jc w:val="start"/>
        <w:tblLayout w:type="fixed"/>
      </w:tblPr>
      <w:tblGrid>
        <w:gridCol w:w="2715"/>
        <w:gridCol w:w="5204"/>
      </w:tblGrid>
      <w:tr>
        <w:tc>
          <w:tcPr/>
          <w:p>
            <w:pPr>
              <w:pStyle w:val="Compact"/>
              <w:jc w:val="left"/>
            </w:pPr>
            <w:r>
              <w:rPr>
                <w:bCs/>
                <w:b/>
              </w:rPr>
              <w:t xml:space="preserve">Name</w:t>
            </w:r>
          </w:p>
        </w:tc>
        <w:tc>
          <w:tcPr/>
          <w:p>
            <w:pPr>
              <w:pStyle w:val="Compact"/>
              <w:jc w:val="left"/>
            </w:pPr>
            <w:r>
              <w:t xml:space="preserve">Latex</w:t>
            </w:r>
          </w:p>
        </w:tc>
      </w:tr>
      <w:tr>
        <w:tc>
          <w:tcPr/>
          <w:p>
            <w:pPr>
              <w:pStyle w:val="Compact"/>
              <w:jc w:val="left"/>
            </w:pPr>
            <w:r>
              <w:rPr>
                <w:bCs/>
                <w:b/>
              </w:rPr>
              <w:t xml:space="preserve">Extraction Ratio</w:t>
            </w:r>
          </w:p>
        </w:tc>
        <w:tc>
          <w:tcPr/>
          <w:p>
            <w:pPr>
              <w:pStyle w:val="Compact"/>
              <w:jc w:val="left"/>
            </w:pPr>
            <w:r>
              <w:t xml:space="preserve">3 cm²/1 mL</w:t>
            </w:r>
          </w:p>
        </w:tc>
      </w:tr>
      <w:tr>
        <w:tc>
          <w:tcPr/>
          <w:p>
            <w:pPr>
              <w:pStyle w:val="Compact"/>
              <w:jc w:val="left"/>
            </w:pPr>
            <w:r>
              <w:rPr>
                <w:bCs/>
                <w:b/>
              </w:rPr>
              <w:t xml:space="preserve">Physical State</w:t>
            </w:r>
          </w:p>
        </w:tc>
        <w:tc>
          <w:tcPr/>
          <w:p>
            <w:pPr>
              <w:pStyle w:val="Compact"/>
              <w:jc w:val="left"/>
            </w:pPr>
            <w:r>
              <w:t xml:space="preserve">Solid</w:t>
            </w:r>
          </w:p>
        </w:tc>
      </w:tr>
      <w:tr>
        <w:tc>
          <w:tcPr/>
          <w:p>
            <w:pPr>
              <w:pStyle w:val="Compact"/>
              <w:jc w:val="left"/>
            </w:pPr>
            <w:r>
              <w:rPr>
                <w:bCs/>
                <w:b/>
              </w:rPr>
              <w:t xml:space="preserve">Color</w:t>
            </w:r>
          </w:p>
        </w:tc>
        <w:tc>
          <w:tcPr/>
          <w:p>
            <w:pPr>
              <w:pStyle w:val="Compact"/>
              <w:jc w:val="left"/>
            </w:pPr>
            <w:r>
              <w:t xml:space="preserve">Tan</w:t>
            </w:r>
          </w:p>
        </w:tc>
      </w:tr>
      <w:tr>
        <w:tc>
          <w:tcPr/>
          <w:p>
            <w:pPr>
              <w:pStyle w:val="Compact"/>
              <w:jc w:val="left"/>
            </w:pPr>
            <w:r>
              <w:rPr>
                <w:bCs/>
                <w:b/>
              </w:rPr>
              <w:t xml:space="preserve">Storage Conditions</w:t>
            </w:r>
          </w:p>
        </w:tc>
        <w:tc>
          <w:tcPr/>
          <w:p>
            <w:pPr>
              <w:pStyle w:val="Compact"/>
              <w:jc w:val="left"/>
            </w:pPr>
            <w:r>
              <w:t xml:space="preserve">Room temperature</w:t>
            </w:r>
          </w:p>
        </w:tc>
      </w:tr>
      <w:tr>
        <w:tc>
          <w:tcPr/>
          <w:p>
            <w:pPr>
              <w:pStyle w:val="Compact"/>
              <w:jc w:val="left"/>
            </w:pPr>
            <w:r>
              <w:rPr>
                <w:bCs/>
                <w:b/>
              </w:rPr>
              <w:t xml:space="preserve">Extraction Solvent</w:t>
            </w:r>
          </w:p>
        </w:tc>
        <w:tc>
          <w:tcPr/>
          <w:p>
            <w:pPr>
              <w:pStyle w:val="Compact"/>
              <w:jc w:val="left"/>
            </w:pPr>
            <w:r>
              <w:t xml:space="preserve">MEM medium with 10% FBS</w:t>
            </w:r>
          </w:p>
        </w:tc>
      </w:tr>
    </w:tbl>
    <w:bookmarkEnd w:id="32"/>
    <w:bookmarkStart w:id="33" w:name="media-control"/>
    <w:p>
      <w:pPr>
        <w:pStyle w:val="Heading3"/>
      </w:pPr>
      <w:r>
        <w:t xml:space="preserve">Media Control</w:t>
      </w:r>
    </w:p>
    <w:p>
      <w:pPr>
        <w:pStyle w:val="FirstParagraph"/>
      </w:pPr>
      <w:r>
        <w:t xml:space="preserve">MEM medium with 10% fetal bovine serum (FBS)</w:t>
      </w:r>
    </w:p>
    <w:p>
      <w:pPr>
        <w:pStyle w:val="BodyText"/>
      </w:pPr>
    </w:p>
    <w:bookmarkEnd w:id="33"/>
    <w:bookmarkEnd w:id="34"/>
    <w:bookmarkStart w:id="37" w:name="equipment-and-reagents"/>
    <w:p>
      <w:pPr>
        <w:pStyle w:val="Heading2"/>
      </w:pPr>
      <w:r>
        <w:t xml:space="preserve">Equipment and Reagents</w:t>
      </w:r>
    </w:p>
    <w:bookmarkStart w:id="35" w:name="equipment"/>
    <w:p>
      <w:pPr>
        <w:pStyle w:val="Heading3"/>
      </w:pPr>
      <w:r>
        <w:t xml:space="preserve">Equipment</w:t>
      </w:r>
    </w:p>
    <w:tbl>
      <w:tblPr>
        <w:tblStyle w:val="Table"/>
        <w:tblW w:type="pct" w:w="5000"/>
        <w:tblLook w:firstRow="1" w:lastRow="0" w:firstColumn="0" w:lastColumn="0" w:noHBand="0" w:noVBand="0" w:val="0020"/>
        <w:jc w:val="start"/>
        <w:tblLayout w:type="fixed"/>
      </w:tblPr>
      <w:tblGrid>
        <w:gridCol w:w="3126"/>
        <w:gridCol w:w="2292"/>
        <w:gridCol w:w="2501"/>
      </w:tblGrid>
      <w:tr>
        <w:trPr>
          <w:tblHeader w:val="true"/>
        </w:trPr>
        <w:tc>
          <w:tcPr/>
          <w:p>
            <w:pPr>
              <w:pStyle w:val="Compact"/>
              <w:jc w:val="left"/>
            </w:pPr>
            <w:r>
              <w:rPr>
                <w:bCs/>
                <w:b/>
              </w:rPr>
              <w:t xml:space="preserve">Equipment Name</w:t>
            </w:r>
          </w:p>
        </w:tc>
        <w:tc>
          <w:tcPr/>
          <w:p>
            <w:pPr>
              <w:pStyle w:val="Compact"/>
              <w:jc w:val="left"/>
            </w:pPr>
            <w:r>
              <w:rPr>
                <w:bCs/>
                <w:b/>
              </w:rPr>
              <w:t xml:space="preserve">Equipment Number</w:t>
            </w:r>
          </w:p>
        </w:tc>
        <w:tc>
          <w:tcPr/>
          <w:p>
            <w:pPr>
              <w:pStyle w:val="Compact"/>
              <w:jc w:val="left"/>
            </w:pPr>
            <w:r>
              <w:rPr>
                <w:bCs/>
                <w:b/>
              </w:rPr>
              <w:t xml:space="preserve">Calibration Expire</w:t>
            </w:r>
          </w:p>
        </w:tc>
      </w:tr>
      <w:tr>
        <w:tc>
          <w:tcPr/>
          <w:p>
            <w:pPr>
              <w:pStyle w:val="Compact"/>
              <w:jc w:val="left"/>
            </w:pPr>
            <w:r>
              <w:t xml:space="preserve">Autoclave</w:t>
            </w:r>
          </w:p>
        </w:tc>
        <w:tc>
          <w:tcPr/>
          <w:p>
            <w:pPr>
              <w:pStyle w:val="Compact"/>
              <w:jc w:val="left"/>
            </w:pPr>
            <w:r>
              <w:t xml:space="preserve">ACME-001</w:t>
            </w:r>
          </w:p>
        </w:tc>
        <w:tc>
          <w:tcPr/>
          <w:p>
            <w:pPr>
              <w:pStyle w:val="Compact"/>
              <w:jc w:val="left"/>
            </w:pPr>
            <w:r>
              <w:t xml:space="preserve">2025-03-09</w:t>
            </w:r>
          </w:p>
        </w:tc>
      </w:tr>
      <w:tr>
        <w:tc>
          <w:tcPr/>
          <w:p>
            <w:pPr>
              <w:pStyle w:val="Compact"/>
              <w:jc w:val="left"/>
            </w:pPr>
            <w:r>
              <w:t xml:space="preserve">CO2 Incubator</w:t>
            </w:r>
          </w:p>
        </w:tc>
        <w:tc>
          <w:tcPr/>
          <w:p>
            <w:pPr>
              <w:pStyle w:val="Compact"/>
              <w:jc w:val="left"/>
            </w:pPr>
            <w:r>
              <w:t xml:space="preserve">BUGS-006</w:t>
            </w:r>
          </w:p>
        </w:tc>
        <w:tc>
          <w:tcPr/>
          <w:p>
            <w:pPr>
              <w:pStyle w:val="Compact"/>
              <w:jc w:val="left"/>
            </w:pPr>
            <w:r>
              <w:t xml:space="preserve">2025-03-09</w:t>
            </w:r>
          </w:p>
        </w:tc>
      </w:tr>
      <w:tr>
        <w:tc>
          <w:tcPr/>
          <w:p>
            <w:pPr>
              <w:pStyle w:val="Compact"/>
              <w:jc w:val="left"/>
            </w:pPr>
            <w:r>
              <w:t xml:space="preserve">Inverted microscope</w:t>
            </w:r>
          </w:p>
        </w:tc>
        <w:tc>
          <w:tcPr/>
          <w:p>
            <w:pPr>
              <w:pStyle w:val="Compact"/>
              <w:jc w:val="left"/>
            </w:pPr>
            <w:r>
              <w:t xml:space="preserve">DAFFY-007</w:t>
            </w:r>
          </w:p>
        </w:tc>
        <w:tc>
          <w:tcPr/>
          <w:p>
            <w:pPr>
              <w:pStyle w:val="Compact"/>
              <w:jc w:val="left"/>
            </w:pPr>
            <w:r>
              <w:t xml:space="preserve">2025-06-15</w:t>
            </w:r>
          </w:p>
        </w:tc>
      </w:tr>
    </w:tbl>
    <w:bookmarkEnd w:id="35"/>
    <w:bookmarkStart w:id="36" w:name="reagents"/>
    <w:p>
      <w:pPr>
        <w:pStyle w:val="Heading3"/>
      </w:pPr>
      <w:r>
        <w:t xml:space="preserve">Reagents</w:t>
      </w:r>
    </w:p>
    <w:tbl>
      <w:tblPr>
        <w:tblStyle w:val="Table"/>
        <w:tblW w:type="pct" w:w="5000"/>
        <w:tblLook w:firstRow="1" w:lastRow="0" w:firstColumn="0" w:lastColumn="0" w:noHBand="0" w:noVBand="0" w:val="0020"/>
        <w:jc w:val="start"/>
        <w:tblLayout w:type="fixed"/>
      </w:tblPr>
      <w:tblGrid>
        <w:gridCol w:w="2623"/>
        <w:gridCol w:w="1462"/>
        <w:gridCol w:w="1059"/>
        <w:gridCol w:w="1513"/>
        <w:gridCol w:w="1261"/>
      </w:tblGrid>
      <w:tr>
        <w:trPr>
          <w:tblHeader w:val="true"/>
        </w:trPr>
        <w:tc>
          <w:tcPr/>
          <w:p>
            <w:pPr>
              <w:pStyle w:val="Compact"/>
              <w:jc w:val="left"/>
            </w:pPr>
            <w:r>
              <w:rPr>
                <w:bCs/>
                <w:b/>
              </w:rPr>
              <w:t xml:space="preserve">Reagent Name</w:t>
            </w:r>
          </w:p>
        </w:tc>
        <w:tc>
          <w:tcPr/>
          <w:p>
            <w:pPr>
              <w:pStyle w:val="Compact"/>
              <w:jc w:val="left"/>
            </w:pPr>
            <w:r>
              <w:rPr>
                <w:bCs/>
                <w:b/>
              </w:rPr>
              <w:t xml:space="preserve">Manufacturer</w:t>
            </w:r>
          </w:p>
        </w:tc>
        <w:tc>
          <w:tcPr/>
          <w:p>
            <w:pPr>
              <w:pStyle w:val="Compact"/>
              <w:jc w:val="left"/>
            </w:pPr>
            <w:r>
              <w:rPr>
                <w:bCs/>
                <w:b/>
              </w:rPr>
              <w:t xml:space="preserve">Part Number</w:t>
            </w:r>
          </w:p>
        </w:tc>
        <w:tc>
          <w:tcPr/>
          <w:p>
            <w:pPr>
              <w:pStyle w:val="Compact"/>
              <w:jc w:val="left"/>
            </w:pPr>
            <w:r>
              <w:rPr>
                <w:bCs/>
                <w:b/>
              </w:rPr>
              <w:t xml:space="preserve">Lot Number</w:t>
            </w:r>
          </w:p>
        </w:tc>
        <w:tc>
          <w:tcPr/>
          <w:p>
            <w:pPr>
              <w:pStyle w:val="Compact"/>
              <w:jc w:val="left"/>
            </w:pPr>
            <w:r>
              <w:rPr>
                <w:bCs/>
                <w:b/>
              </w:rPr>
              <w:t xml:space="preserve">Expiration Date</w:t>
            </w:r>
          </w:p>
        </w:tc>
      </w:tr>
      <w:tr>
        <w:tc>
          <w:tcPr/>
          <w:p>
            <w:pPr>
              <w:pStyle w:val="Compact"/>
              <w:jc w:val="left"/>
            </w:pPr>
            <w:r>
              <w:t xml:space="preserve">Fetal Bovine Serum (FBS)</w:t>
            </w:r>
          </w:p>
        </w:tc>
        <w:tc>
          <w:tcPr/>
          <w:p>
            <w:pPr>
              <w:pStyle w:val="Compact"/>
              <w:jc w:val="left"/>
            </w:pPr>
            <w:r>
              <w:t xml:space="preserve">Wile E. Biotech Industries</w:t>
            </w:r>
          </w:p>
        </w:tc>
        <w:tc>
          <w:tcPr/>
          <w:p>
            <w:pPr>
              <w:pStyle w:val="Compact"/>
              <w:jc w:val="left"/>
            </w:pPr>
            <w:r>
              <w:t xml:space="preserve">FBS-002</w:t>
            </w:r>
          </w:p>
        </w:tc>
        <w:tc>
          <w:tcPr/>
          <w:p>
            <w:pPr>
              <w:pStyle w:val="Compact"/>
              <w:jc w:val="left"/>
            </w:pPr>
            <w:r>
              <w:t xml:space="preserve">FBS-LOT-2024</w:t>
            </w:r>
          </w:p>
        </w:tc>
        <w:tc>
          <w:tcPr/>
          <w:p>
            <w:pPr>
              <w:pStyle w:val="Compact"/>
              <w:jc w:val="left"/>
            </w:pPr>
            <w:r>
              <w:t xml:space="preserve">2025-01-31</w:t>
            </w:r>
          </w:p>
        </w:tc>
      </w:tr>
      <w:tr>
        <w:tc>
          <w:tcPr/>
          <w:p>
            <w:pPr>
              <w:pStyle w:val="Compact"/>
              <w:jc w:val="left"/>
            </w:pPr>
            <w:r>
              <w:t xml:space="preserve">MEM Medium</w:t>
            </w:r>
          </w:p>
        </w:tc>
        <w:tc>
          <w:tcPr/>
          <w:p>
            <w:pPr>
              <w:pStyle w:val="Compact"/>
              <w:jc w:val="left"/>
            </w:pPr>
            <w:r>
              <w:t xml:space="preserve">Road Runner Labs</w:t>
            </w:r>
          </w:p>
        </w:tc>
        <w:tc>
          <w:tcPr/>
          <w:p>
            <w:pPr>
              <w:pStyle w:val="Compact"/>
              <w:jc w:val="left"/>
            </w:pPr>
            <w:r>
              <w:t xml:space="preserve">MEM-003</w:t>
            </w:r>
          </w:p>
        </w:tc>
        <w:tc>
          <w:tcPr/>
          <w:p>
            <w:pPr>
              <w:pStyle w:val="Compact"/>
              <w:jc w:val="left"/>
            </w:pPr>
            <w:r>
              <w:t xml:space="preserve">MEM-LOT-5678</w:t>
            </w:r>
          </w:p>
        </w:tc>
        <w:tc>
          <w:tcPr/>
          <w:p>
            <w:pPr>
              <w:pStyle w:val="Compact"/>
              <w:jc w:val="left"/>
            </w:pPr>
            <w:r>
              <w:t xml:space="preserve">2025-06-30</w:t>
            </w:r>
          </w:p>
        </w:tc>
      </w:tr>
      <w:tr>
        <w:tc>
          <w:tcPr/>
          <w:p>
            <w:pPr>
              <w:pStyle w:val="Compact"/>
              <w:jc w:val="left"/>
            </w:pPr>
            <w:r>
              <w:t xml:space="preserve">Trypsin</w:t>
            </w:r>
          </w:p>
        </w:tc>
        <w:tc>
          <w:tcPr/>
          <w:p>
            <w:pPr>
              <w:pStyle w:val="Compact"/>
              <w:jc w:val="left"/>
            </w:pPr>
            <w:r>
              <w:t xml:space="preserve">Bugs Bunny Pharmaceuticals</w:t>
            </w:r>
          </w:p>
        </w:tc>
        <w:tc>
          <w:tcPr/>
          <w:p>
            <w:pPr>
              <w:pStyle w:val="Compact"/>
              <w:jc w:val="left"/>
            </w:pPr>
            <w:r>
              <w:t xml:space="preserve">TRYPSIN-004</w:t>
            </w:r>
          </w:p>
        </w:tc>
        <w:tc>
          <w:tcPr/>
          <w:p>
            <w:pPr>
              <w:pStyle w:val="Compact"/>
              <w:jc w:val="left"/>
            </w:pPr>
            <w:r>
              <w:t xml:space="preserve">TRYPSIN-LOT-9012</w:t>
            </w:r>
          </w:p>
        </w:tc>
        <w:tc>
          <w:tcPr/>
          <w:p>
            <w:pPr>
              <w:pStyle w:val="Compact"/>
              <w:jc w:val="left"/>
            </w:pPr>
            <w:r>
              <w:t xml:space="preserve">2025-08-15</w:t>
            </w:r>
          </w:p>
        </w:tc>
      </w:tr>
      <w:tr>
        <w:tc>
          <w:tcPr/>
          <w:p>
            <w:pPr>
              <w:pStyle w:val="Compact"/>
              <w:jc w:val="left"/>
            </w:pPr>
            <w:r>
              <w:t xml:space="preserve">Penicillin/Streptomycin</w:t>
            </w:r>
          </w:p>
        </w:tc>
        <w:tc>
          <w:tcPr/>
          <w:p>
            <w:pPr>
              <w:pStyle w:val="Compact"/>
              <w:jc w:val="left"/>
            </w:pPr>
            <w:r>
              <w:t xml:space="preserve">Daffy Duck Labs</w:t>
            </w:r>
          </w:p>
        </w:tc>
        <w:tc>
          <w:tcPr/>
          <w:p>
            <w:pPr>
              <w:pStyle w:val="Compact"/>
              <w:jc w:val="left"/>
            </w:pPr>
            <w:r>
              <w:t xml:space="preserve">PENSTREP-005</w:t>
            </w:r>
          </w:p>
        </w:tc>
        <w:tc>
          <w:tcPr/>
          <w:p>
            <w:pPr>
              <w:pStyle w:val="Compact"/>
              <w:jc w:val="left"/>
            </w:pPr>
            <w:r>
              <w:t xml:space="preserve">PENSTREP-LOT-3456</w:t>
            </w:r>
          </w:p>
        </w:tc>
        <w:tc>
          <w:tcPr/>
          <w:p>
            <w:pPr>
              <w:pStyle w:val="Compact"/>
              <w:jc w:val="left"/>
            </w:pPr>
            <w:r>
              <w:t xml:space="preserve">2025-11-01</w:t>
            </w:r>
          </w:p>
        </w:tc>
      </w:tr>
      <w:tr>
        <w:tc>
          <w:tcPr/>
          <w:p>
            <w:pPr>
              <w:pStyle w:val="Compact"/>
              <w:jc w:val="left"/>
            </w:pPr>
            <w:r>
              <w:t xml:space="preserve">PBS (Phosphate-buffered saline)</w:t>
            </w:r>
          </w:p>
        </w:tc>
        <w:tc>
          <w:tcPr/>
          <w:p>
            <w:pPr>
              <w:pStyle w:val="Compact"/>
              <w:jc w:val="left"/>
            </w:pPr>
            <w:r>
              <w:t xml:space="preserve">Tweety Solutions</w:t>
            </w:r>
          </w:p>
        </w:tc>
        <w:tc>
          <w:tcPr/>
          <w:p>
            <w:pPr>
              <w:pStyle w:val="Compact"/>
              <w:jc w:val="left"/>
            </w:pPr>
            <w:r>
              <w:t xml:space="preserve">PBS-006</w:t>
            </w:r>
          </w:p>
        </w:tc>
        <w:tc>
          <w:tcPr/>
          <w:p>
            <w:pPr>
              <w:pStyle w:val="Compact"/>
              <w:jc w:val="left"/>
            </w:pPr>
            <w:r>
              <w:t xml:space="preserve">PBS-LOT-7890</w:t>
            </w:r>
          </w:p>
        </w:tc>
        <w:tc>
          <w:tcPr/>
          <w:p>
            <w:pPr>
              <w:pStyle w:val="Compact"/>
              <w:jc w:val="left"/>
            </w:pPr>
            <w:r>
              <w:t xml:space="preserve">2026-01-20</w:t>
            </w:r>
          </w:p>
        </w:tc>
      </w:tr>
      <w:tr>
        <w:tc>
          <w:tcPr/>
          <w:p>
            <w:pPr>
              <w:pStyle w:val="Compact"/>
              <w:jc w:val="left"/>
            </w:pPr>
            <w:r>
              <w:t xml:space="preserve">Isopropanol (99.9%)</w:t>
            </w:r>
          </w:p>
        </w:tc>
        <w:tc>
          <w:tcPr/>
          <w:p>
            <w:pPr>
              <w:pStyle w:val="Compact"/>
              <w:jc w:val="left"/>
            </w:pPr>
            <w:r>
              <w:t xml:space="preserve">ACME Industrial Reagents</w:t>
            </w:r>
          </w:p>
        </w:tc>
        <w:tc>
          <w:tcPr/>
          <w:p>
            <w:pPr>
              <w:pStyle w:val="Compact"/>
              <w:jc w:val="left"/>
            </w:pPr>
            <w:r>
              <w:t xml:space="preserve">ISO-007</w:t>
            </w:r>
          </w:p>
        </w:tc>
        <w:tc>
          <w:tcPr/>
          <w:p>
            <w:pPr>
              <w:pStyle w:val="Compact"/>
              <w:jc w:val="left"/>
            </w:pPr>
            <w:r>
              <w:t xml:space="preserve">ISO-LOT-1122</w:t>
            </w:r>
          </w:p>
        </w:tc>
        <w:tc>
          <w:tcPr/>
          <w:p>
            <w:pPr>
              <w:pStyle w:val="Compact"/>
              <w:jc w:val="left"/>
            </w:pPr>
            <w:r>
              <w:t xml:space="preserve">2026-03-15</w:t>
            </w:r>
          </w:p>
        </w:tc>
      </w:tr>
    </w:tbl>
    <w:bookmarkEnd w:id="36"/>
    <w:bookmarkEnd w:id="37"/>
    <w:bookmarkStart w:id="38" w:name="identification-of-test-system"/>
    <w:p>
      <w:pPr>
        <w:pStyle w:val="Heading2"/>
      </w:pPr>
      <w:r>
        <w:t xml:space="preserve">Identification of Test System</w:t>
      </w:r>
    </w:p>
    <w:p>
      <w:pPr>
        <w:pStyle w:val="FirstParagraph"/>
      </w:pPr>
      <w:r>
        <w:t xml:space="preserve">L929 mouse fibroblast cells obtained from ATCC (American Type Culture Collection), USA.</w:t>
      </w:r>
    </w:p>
    <w:bookmarkEnd w:id="38"/>
    <w:bookmarkStart w:id="39" w:name="X4dac8838e372fe6e4cb16d9654bdb8afa3d0ed2"/>
    <w:p>
      <w:pPr>
        <w:pStyle w:val="Heading2"/>
      </w:pPr>
      <w:r>
        <w:t xml:space="preserve">Justification of Test System and Route of Administration</w:t>
      </w:r>
    </w:p>
    <w:p>
      <w:pPr>
        <w:pStyle w:val="FirstParagraph"/>
      </w:pPr>
      <w:r>
        <w:t xml:space="preserve">Historically, mouse fibroblast L929 cells have been used for cytotoxicity studies because they demonstrate sensitivity to extractable cytotoxic articles. The test article was extracted and administered in vitro to mouse fibroblast L929 cells through a solvent compatible with the test system. This was the optimal route of administration available in this test system as recommended in the guidelines.</w:t>
      </w:r>
    </w:p>
    <w:p>
      <w:pPr>
        <w:pStyle w:val="BodyText"/>
      </w:pPr>
    </w:p>
    <w:bookmarkEnd w:id="39"/>
    <w:bookmarkStart w:id="41" w:name="experimental-design"/>
    <w:p>
      <w:pPr>
        <w:pStyle w:val="Heading2"/>
      </w:pPr>
      <w:r>
        <w:t xml:space="preserve">Experimental Design</w:t>
      </w:r>
    </w:p>
    <w:bookmarkStart w:id="40" w:name="extraction-process"/>
    <w:p>
      <w:pPr>
        <w:pStyle w:val="Heading3"/>
      </w:pPr>
      <w:r>
        <w:t xml:space="preserve">Extraction Process</w:t>
      </w:r>
    </w:p>
    <w:p>
      <w:pPr>
        <w:pStyle w:val="FirstParagraph"/>
      </w:pPr>
      <w:r>
        <w:t xml:space="preserve">The extraction process was carried out at an extraction ratio of</w:t>
      </w:r>
      <w:r>
        <w:t xml:space="preserve"> </w:t>
      </w:r>
      <w:r>
        <w:rPr>
          <w:bCs/>
          <w:b/>
        </w:rPr>
        <w:t xml:space="preserve">3 cm³:1 mL</w:t>
      </w:r>
      <w:r>
        <w:t xml:space="preserve"> </w:t>
      </w:r>
      <w:r>
        <w:t xml:space="preserve">for all samples. Under aseptic</w:t>
      </w:r>
      <w:r>
        <w:t xml:space="preserve"> </w:t>
      </w:r>
      <w:r>
        <w:t xml:space="preserve">conditions, samples were extracted with continuous agitation in closed,</w:t>
      </w:r>
      <w:r>
        <w:t xml:space="preserve"> </w:t>
      </w:r>
      <w:r>
        <w:t xml:space="preserve">inert containers, using</w:t>
      </w:r>
      <w:r>
        <w:t xml:space="preserve"> </w:t>
      </w:r>
      <w:r>
        <w:rPr>
          <w:bCs/>
          <w:b/>
        </w:rPr>
        <w:t xml:space="preserve">DMEM medium with 10% fetal bovine serum</w:t>
      </w:r>
      <w:r>
        <w:rPr>
          <w:bCs/>
          <w:b/>
        </w:rPr>
        <w:t xml:space="preserve"> </w:t>
      </w:r>
      <w:r>
        <w:rPr>
          <w:bCs/>
          <w:b/>
        </w:rPr>
        <w:t xml:space="preserve">(FBS)</w:t>
      </w:r>
      <w:r>
        <w:t xml:space="preserve"> </w:t>
      </w:r>
      <w:r>
        <w:t xml:space="preserve">as the extraction solvent.</w:t>
      </w:r>
    </w:p>
    <w:tbl>
      <w:tblPr>
        <w:tblStyle w:val="Table"/>
        <w:tblW w:type="pct" w:w="5000"/>
        <w:tblLook w:firstRow="1" w:lastRow="0" w:firstColumn="0" w:lastColumn="0" w:noHBand="0" w:noVBand="0" w:val="0020"/>
        <w:jc w:val="start"/>
        <w:tblLayout w:type="fixed"/>
      </w:tblPr>
      <w:tblGrid>
        <w:gridCol w:w="2200"/>
        <w:gridCol w:w="2750"/>
        <w:gridCol w:w="2970"/>
      </w:tblGrid>
      <w:tr>
        <w:trPr>
          <w:tblHeader w:val="true"/>
        </w:trPr>
        <w:tc>
          <w:tcPr/>
          <w:p>
            <w:pPr>
              <w:pStyle w:val="Compact"/>
              <w:jc w:val="left"/>
            </w:pPr>
            <w:r>
              <w:rPr>
                <w:bCs/>
                <w:b/>
              </w:rPr>
              <w:t xml:space="preserve">Sample</w:t>
            </w:r>
          </w:p>
        </w:tc>
        <w:tc>
          <w:tcPr/>
          <w:p>
            <w:pPr>
              <w:pStyle w:val="Compact"/>
              <w:jc w:val="left"/>
            </w:pPr>
            <w:r>
              <w:rPr>
                <w:bCs/>
                <w:b/>
              </w:rPr>
              <w:t xml:space="preserve">Extract Volume (mL)</w:t>
            </w:r>
          </w:p>
        </w:tc>
        <w:tc>
          <w:tcPr/>
          <w:p>
            <w:pPr>
              <w:pStyle w:val="Compact"/>
              <w:jc w:val="left"/>
            </w:pPr>
            <w:r>
              <w:rPr>
                <w:bCs/>
                <w:b/>
              </w:rPr>
              <w:t xml:space="preserve">Appearance of Extract</w:t>
            </w:r>
          </w:p>
        </w:tc>
      </w:tr>
      <w:tr>
        <w:tc>
          <w:tcPr/>
          <w:p>
            <w:pPr>
              <w:pStyle w:val="Compact"/>
              <w:jc w:val="left"/>
            </w:pPr>
            <w:r>
              <w:t xml:space="preserve">Test Article</w:t>
            </w:r>
          </w:p>
        </w:tc>
        <w:tc>
          <w:tcPr/>
          <w:p>
            <w:pPr>
              <w:pStyle w:val="Compact"/>
              <w:jc w:val="left"/>
            </w:pPr>
            <w:r>
              <w:t xml:space="preserve">64.9 mL</w:t>
            </w:r>
          </w:p>
        </w:tc>
        <w:tc>
          <w:tcPr/>
          <w:p>
            <w:pPr>
              <w:pStyle w:val="Compact"/>
              <w:jc w:val="left"/>
            </w:pPr>
            <w:r>
              <w:t xml:space="preserve">Clear</w:t>
            </w:r>
          </w:p>
        </w:tc>
      </w:tr>
      <w:tr>
        <w:tc>
          <w:tcPr/>
          <w:p>
            <w:pPr>
              <w:pStyle w:val="Compact"/>
              <w:jc w:val="left"/>
            </w:pPr>
            <w:r>
              <w:t xml:space="preserve">Negative Control</w:t>
            </w:r>
          </w:p>
        </w:tc>
        <w:tc>
          <w:tcPr/>
          <w:p>
            <w:pPr>
              <w:pStyle w:val="Compact"/>
              <w:jc w:val="left"/>
            </w:pPr>
            <w:r>
              <w:t xml:space="preserve">64.9 mL</w:t>
            </w:r>
          </w:p>
        </w:tc>
        <w:tc>
          <w:tcPr/>
          <w:p>
            <w:pPr>
              <w:pStyle w:val="Compact"/>
              <w:jc w:val="left"/>
            </w:pPr>
            <w:r>
              <w:t xml:space="preserve">Clear</w:t>
            </w:r>
          </w:p>
        </w:tc>
      </w:tr>
      <w:tr>
        <w:tc>
          <w:tcPr/>
          <w:p>
            <w:pPr>
              <w:pStyle w:val="Compact"/>
              <w:jc w:val="left"/>
            </w:pPr>
            <w:r>
              <w:t xml:space="preserve">Positive Control</w:t>
            </w:r>
          </w:p>
        </w:tc>
        <w:tc>
          <w:tcPr/>
          <w:p>
            <w:pPr>
              <w:pStyle w:val="Compact"/>
              <w:jc w:val="left"/>
            </w:pPr>
            <w:r>
              <w:t xml:space="preserve">64.9 mL</w:t>
            </w:r>
          </w:p>
        </w:tc>
        <w:tc>
          <w:tcPr/>
          <w:p>
            <w:pPr>
              <w:pStyle w:val="Compact"/>
              <w:jc w:val="left"/>
            </w:pPr>
            <w:r>
              <w:t xml:space="preserve">Cloudy</w:t>
            </w:r>
          </w:p>
        </w:tc>
      </w:tr>
      <w:tr>
        <w:tc>
          <w:tcPr/>
          <w:p>
            <w:pPr>
              <w:pStyle w:val="Compact"/>
              <w:jc w:val="left"/>
            </w:pPr>
            <w:r>
              <w:t xml:space="preserve">Blank Control</w:t>
            </w:r>
          </w:p>
        </w:tc>
        <w:tc>
          <w:tcPr/>
          <w:p>
            <w:pPr>
              <w:pStyle w:val="Compact"/>
              <w:jc w:val="left"/>
            </w:pPr>
            <w:r>
              <w:t xml:space="preserve">64.9 mL</w:t>
            </w:r>
          </w:p>
        </w:tc>
        <w:tc>
          <w:tcPr/>
          <w:p>
            <w:pPr>
              <w:pStyle w:val="Compact"/>
              <w:jc w:val="left"/>
            </w:pPr>
            <w:r>
              <w:t xml:space="preserve">Clear</w:t>
            </w:r>
          </w:p>
        </w:tc>
      </w:tr>
    </w:tbl>
    <w:bookmarkEnd w:id="40"/>
    <w:bookmarkEnd w:id="41"/>
    <w:bookmarkStart w:id="47" w:name="experimental-procedure"/>
    <w:p>
      <w:pPr>
        <w:pStyle w:val="Heading2"/>
      </w:pPr>
      <w:r>
        <w:t xml:space="preserve">Experimental Procedure</w:t>
      </w:r>
    </w:p>
    <w:p>
      <w:pPr>
        <w:pStyle w:val="FirstParagraph"/>
      </w:pPr>
      <w:r>
        <w:t xml:space="preserve">Once the extracts were prepared, they were tested on</w:t>
      </w:r>
      <w:r>
        <w:t xml:space="preserve"> </w:t>
      </w:r>
      <w:r>
        <w:rPr>
          <w:bCs/>
          <w:b/>
        </w:rPr>
        <w:t xml:space="preserve">L929 mouse</w:t>
      </w:r>
      <w:r>
        <w:rPr>
          <w:bCs/>
          <w:b/>
        </w:rPr>
        <w:t xml:space="preserve"> </w:t>
      </w:r>
      <w:r>
        <w:rPr>
          <w:bCs/>
          <w:b/>
        </w:rPr>
        <w:t xml:space="preserve">fibroblast cells</w:t>
      </w:r>
      <w:r>
        <w:t xml:space="preserve"> </w:t>
      </w:r>
      <w:r>
        <w:t xml:space="preserve">using a standard cytotoxicity assay. The cells were</w:t>
      </w:r>
      <w:r>
        <w:t xml:space="preserve"> </w:t>
      </w:r>
      <w:r>
        <w:t xml:space="preserve">cultured in a 96-well plate and exposed to the test article extract and</w:t>
      </w:r>
      <w:r>
        <w:t xml:space="preserve"> </w:t>
      </w:r>
      <w:r>
        <w:t xml:space="preserve">controls for approximately 48 hours.</w:t>
      </w:r>
    </w:p>
    <w:bookmarkStart w:id="42" w:name="evaluation-criteria"/>
    <w:p>
      <w:pPr>
        <w:pStyle w:val="Heading3"/>
      </w:pPr>
      <w:r>
        <w:t xml:space="preserve">Evaluation Criteria</w:t>
      </w:r>
    </w:p>
    <w:p>
      <w:pPr>
        <w:pStyle w:val="FirstParagraph"/>
      </w:pPr>
      <w:r>
        <w:t xml:space="preserve">Morphological assessment of cytotoxicity was based on the following</w:t>
      </w:r>
      <w:r>
        <w:t xml:space="preserve"> </w:t>
      </w:r>
      <w:r>
        <w:t xml:space="preserve">grading system:</w:t>
      </w:r>
    </w:p>
    <w:tbl>
      <w:tblPr>
        <w:tblStyle w:val="Table"/>
        <w:tblW w:type="pct" w:w="5000"/>
        <w:tblLook w:firstRow="1" w:lastRow="0" w:firstColumn="0" w:lastColumn="0" w:noHBand="0" w:noVBand="0" w:val="0020"/>
        <w:jc w:val="start"/>
        <w:tblLayout w:type="fixed"/>
      </w:tblPr>
      <w:tblGrid>
        <w:gridCol w:w="2200"/>
        <w:gridCol w:w="5720"/>
      </w:tblGrid>
      <w:tr>
        <w:trPr>
          <w:tblHeader w:val="true"/>
        </w:trPr>
        <w:tc>
          <w:tcPr/>
          <w:p>
            <w:pPr>
              <w:pStyle w:val="Compact"/>
              <w:jc w:val="left"/>
            </w:pPr>
            <w:r>
              <w:rPr>
                <w:bCs/>
                <w:b/>
              </w:rPr>
              <w:t xml:space="preserve">Grade</w:t>
            </w:r>
          </w:p>
        </w:tc>
        <w:tc>
          <w:tcPr/>
          <w:p>
            <w:pPr>
              <w:pStyle w:val="Compact"/>
              <w:jc w:val="left"/>
            </w:pPr>
            <w:r>
              <w:rPr>
                <w:bCs/>
                <w:b/>
              </w:rPr>
              <w:t xml:space="preserve">Criteria</w:t>
            </w:r>
          </w:p>
        </w:tc>
      </w:tr>
      <w:tr>
        <w:tc>
          <w:tcPr/>
          <w:p>
            <w:pPr>
              <w:pStyle w:val="Compact"/>
              <w:jc w:val="left"/>
            </w:pPr>
            <w:r>
              <w:rPr>
                <w:bCs/>
                <w:b/>
              </w:rPr>
              <w:t xml:space="preserve">0 - None</w:t>
            </w:r>
          </w:p>
        </w:tc>
        <w:tc>
          <w:tcPr/>
          <w:p>
            <w:pPr>
              <w:pStyle w:val="Compact"/>
              <w:jc w:val="left"/>
            </w:pPr>
            <w:r>
              <w:t xml:space="preserve">No cell lysis observed; cells remained attached, with intracytoplasmic granules.</w:t>
            </w:r>
          </w:p>
        </w:tc>
      </w:tr>
      <w:tr>
        <w:tc>
          <w:tcPr/>
          <w:p>
            <w:pPr>
              <w:pStyle w:val="Compact"/>
              <w:jc w:val="left"/>
            </w:pPr>
            <w:r>
              <w:rPr>
                <w:bCs/>
                <w:b/>
              </w:rPr>
              <w:t xml:space="preserve">1 - Slight</w:t>
            </w:r>
          </w:p>
        </w:tc>
        <w:tc>
          <w:tcPr/>
          <w:p>
            <w:pPr>
              <w:pStyle w:val="Compact"/>
              <w:jc w:val="left"/>
            </w:pPr>
            <w:r>
              <w:t xml:space="preserve">≤ 20% rounding of cells, with occasional lysed cells observed.</w:t>
            </w:r>
          </w:p>
        </w:tc>
      </w:tr>
      <w:tr>
        <w:tc>
          <w:tcPr/>
          <w:p>
            <w:pPr>
              <w:pStyle w:val="Compact"/>
              <w:jc w:val="left"/>
            </w:pPr>
            <w:r>
              <w:rPr>
                <w:bCs/>
                <w:b/>
              </w:rPr>
              <w:t xml:space="preserve">2 - Mild</w:t>
            </w:r>
          </w:p>
        </w:tc>
        <w:tc>
          <w:tcPr/>
          <w:p>
            <w:pPr>
              <w:pStyle w:val="Compact"/>
              <w:jc w:val="left"/>
            </w:pPr>
            <w:r>
              <w:t xml:space="preserve">&gt; 20% to ≤ 50% rounding, with no extensive cell lysis.</w:t>
            </w:r>
          </w:p>
        </w:tc>
      </w:tr>
      <w:tr>
        <w:tc>
          <w:tcPr/>
          <w:p>
            <w:pPr>
              <w:pStyle w:val="Compact"/>
              <w:jc w:val="left"/>
            </w:pPr>
            <w:r>
              <w:rPr>
                <w:bCs/>
                <w:b/>
              </w:rPr>
              <w:t xml:space="preserve">3 - Moderate</w:t>
            </w:r>
          </w:p>
        </w:tc>
        <w:tc>
          <w:tcPr/>
          <w:p>
            <w:pPr>
              <w:pStyle w:val="Compact"/>
              <w:jc w:val="left"/>
            </w:pPr>
            <w:r>
              <w:t xml:space="preserve">&gt; 50% rounding, with lysed cells present.</w:t>
            </w:r>
          </w:p>
        </w:tc>
      </w:tr>
      <w:tr>
        <w:tc>
          <w:tcPr/>
          <w:p>
            <w:pPr>
              <w:pStyle w:val="Compact"/>
              <w:jc w:val="left"/>
            </w:pPr>
            <w:r>
              <w:rPr>
                <w:bCs/>
                <w:b/>
              </w:rPr>
              <w:t xml:space="preserve">4 - Severe</w:t>
            </w:r>
          </w:p>
        </w:tc>
        <w:tc>
          <w:tcPr/>
          <w:p>
            <w:pPr>
              <w:pStyle w:val="Compact"/>
              <w:jc w:val="left"/>
            </w:pPr>
            <w:r>
              <w:t xml:space="preserve">Nearly complete destruction of the cell layer, with extensive lysis.</w:t>
            </w:r>
          </w:p>
        </w:tc>
      </w:tr>
    </w:tbl>
    <w:bookmarkEnd w:id="42"/>
    <w:bookmarkStart w:id="43" w:name="statistical-method"/>
    <w:p>
      <w:pPr>
        <w:pStyle w:val="Heading3"/>
      </w:pPr>
      <w:r>
        <w:t xml:space="preserve">Statistical Method</w:t>
      </w:r>
    </w:p>
    <w:p>
      <w:pPr>
        <w:pStyle w:val="FirstParagraph"/>
      </w:pPr>
      <w:r>
        <w:t xml:space="preserve">The mode of three replicates will be calculated to evaluate cytotoxic potential.</w:t>
      </w:r>
    </w:p>
    <w:p>
      <w:pPr>
        <w:pStyle w:val="BodyText"/>
      </w:pPr>
      <w:r>
        <w:t xml:space="preserve"> </w:t>
      </w:r>
      <w:r>
        <w:t xml:space="preserve">## Results</w:t>
      </w:r>
    </w:p>
    <w:bookmarkEnd w:id="43"/>
    <w:bookmarkStart w:id="44" w:name="pre-extraction-observations"/>
    <w:p>
      <w:pPr>
        <w:pStyle w:val="Heading3"/>
      </w:pPr>
      <w:r>
        <w:t xml:space="preserve">Pre-Extraction Observations</w:t>
      </w:r>
    </w:p>
    <w:tbl>
      <w:tblPr>
        <w:tblStyle w:val="Table"/>
        <w:tblW w:type="pct" w:w="5000"/>
        <w:tblLook w:firstRow="1" w:lastRow="0" w:firstColumn="0" w:lastColumn="0" w:noHBand="0" w:noVBand="0" w:val="0020"/>
        <w:jc w:val="start"/>
        <w:tblLayout w:type="fixed"/>
      </w:tblPr>
      <w:tblGrid>
        <w:gridCol w:w="2151"/>
        <w:gridCol w:w="5768"/>
      </w:tblGrid>
      <w:tr>
        <w:trPr>
          <w:tblHeader w:val="true"/>
        </w:trPr>
        <w:tc>
          <w:tcPr/>
          <w:p>
            <w:pPr>
              <w:pStyle w:val="Compact"/>
              <w:jc w:val="left"/>
            </w:pPr>
            <w:r>
              <w:rPr>
                <w:bCs/>
                <w:b/>
              </w:rPr>
              <w:t xml:space="preserve">Observation</w:t>
            </w:r>
          </w:p>
        </w:tc>
        <w:tc>
          <w:tcPr/>
          <w:p>
            <w:pPr>
              <w:pStyle w:val="Compact"/>
              <w:jc w:val="left"/>
            </w:pPr>
            <w:r>
              <w:rPr>
                <w:bCs/>
                <w:b/>
              </w:rPr>
              <w:t xml:space="preserve">Details</w:t>
            </w:r>
          </w:p>
        </w:tc>
      </w:tr>
      <w:tr>
        <w:tc>
          <w:tcPr/>
          <w:p>
            <w:pPr>
              <w:pStyle w:val="Compact"/>
              <w:jc w:val="left"/>
            </w:pPr>
            <w:r>
              <w:t xml:space="preserve">Pre-Extraction</w:t>
            </w:r>
          </w:p>
        </w:tc>
        <w:tc>
          <w:tcPr/>
          <w:p>
            <w:pPr>
              <w:pStyle w:val="Compact"/>
              <w:jc w:val="left"/>
            </w:pPr>
            <w:r>
              <w:t xml:space="preserve">All extracts were clear and free of particulates prior to the extraction process.</w:t>
            </w:r>
          </w:p>
        </w:tc>
      </w:tr>
    </w:tbl>
    <w:bookmarkEnd w:id="44"/>
    <w:bookmarkStart w:id="45" w:name="post-extraction-observations"/>
    <w:p>
      <w:pPr>
        <w:pStyle w:val="Heading3"/>
      </w:pPr>
      <w:r>
        <w:t xml:space="preserve">Post-Extraction Observations</w:t>
      </w:r>
    </w:p>
    <w:tbl>
      <w:tblPr>
        <w:tblStyle w:val="Table"/>
        <w:tblW w:type="pct" w:w="5000"/>
        <w:tblLook w:firstRow="1" w:lastRow="0" w:firstColumn="0" w:lastColumn="0" w:noHBand="0" w:noVBand="0" w:val="0020"/>
        <w:jc w:val="start"/>
        <w:tblLayout w:type="fixed"/>
      </w:tblPr>
      <w:tblGrid>
        <w:gridCol w:w="2151"/>
        <w:gridCol w:w="5768"/>
      </w:tblGrid>
      <w:tr>
        <w:trPr>
          <w:tblHeader w:val="true"/>
        </w:trPr>
        <w:tc>
          <w:tcPr/>
          <w:p>
            <w:pPr>
              <w:pStyle w:val="Compact"/>
              <w:jc w:val="left"/>
            </w:pPr>
            <w:r>
              <w:rPr>
                <w:bCs/>
                <w:b/>
              </w:rPr>
              <w:t xml:space="preserve">Sample</w:t>
            </w:r>
          </w:p>
        </w:tc>
        <w:tc>
          <w:tcPr/>
          <w:p>
            <w:pPr>
              <w:pStyle w:val="Compact"/>
              <w:jc w:val="left"/>
            </w:pPr>
            <w:r>
              <w:rPr>
                <w:bCs/>
                <w:b/>
              </w:rPr>
              <w:t xml:space="preserve">Post-Extraction Observation</w:t>
            </w:r>
          </w:p>
        </w:tc>
      </w:tr>
      <w:tr>
        <w:tc>
          <w:tcPr/>
          <w:p>
            <w:pPr>
              <w:pStyle w:val="Compact"/>
              <w:jc w:val="left"/>
            </w:pPr>
            <w:r>
              <w:t xml:space="preserve">Test Article</w:t>
            </w:r>
          </w:p>
        </w:tc>
        <w:tc>
          <w:tcPr/>
          <w:p>
            <w:pPr>
              <w:pStyle w:val="Compact"/>
              <w:jc w:val="left"/>
            </w:pPr>
            <w:r>
              <w:t xml:space="preserve">No significant color changes were observed, and the extract remained clear.</w:t>
            </w:r>
          </w:p>
        </w:tc>
      </w:tr>
      <w:tr>
        <w:tc>
          <w:tcPr/>
          <w:p>
            <w:pPr>
              <w:pStyle w:val="Compact"/>
              <w:jc w:val="left"/>
            </w:pPr>
            <w:r>
              <w:t xml:space="preserve">Negative Control</w:t>
            </w:r>
          </w:p>
        </w:tc>
        <w:tc>
          <w:tcPr/>
          <w:p>
            <w:pPr>
              <w:pStyle w:val="Compact"/>
              <w:jc w:val="left"/>
            </w:pPr>
            <w:r>
              <w:t xml:space="preserve">No significant color changes were observed, and the extract remained clear.</w:t>
            </w:r>
          </w:p>
        </w:tc>
      </w:tr>
      <w:tr>
        <w:tc>
          <w:tcPr/>
          <w:p>
            <w:pPr>
              <w:pStyle w:val="Compact"/>
              <w:jc w:val="left"/>
            </w:pPr>
            <w:r>
              <w:t xml:space="preserve">Positive Control</w:t>
            </w:r>
          </w:p>
        </w:tc>
        <w:tc>
          <w:tcPr/>
          <w:p>
            <w:pPr>
              <w:pStyle w:val="Compact"/>
              <w:jc w:val="left"/>
            </w:pPr>
            <w:r>
              <w:t xml:space="preserve">The extract became cloudy, and filtration was required before use.</w:t>
            </w:r>
          </w:p>
        </w:tc>
      </w:tr>
    </w:tbl>
    <w:p>
      <w:pPr>
        <w:pStyle w:val="BodyText"/>
      </w:pPr>
      <w:r>
        <w:rPr>
          <w:bCs/>
          <w:b/>
        </w:rPr>
        <w:t xml:space="preserve">General Observations</w:t>
      </w:r>
    </w:p>
    <w:p>
      <w:pPr>
        <w:pStyle w:val="BodyText"/>
      </w:pPr>
      <w:r>
        <w:t xml:space="preserve">No pH adjustments, centrifugation, or dilution processes were performed on the test and control samples.</w:t>
      </w:r>
    </w:p>
    <w:p>
      <w:pPr>
        <w:pStyle w:val="BodyText"/>
      </w:pPr>
      <w:r>
        <w:rPr>
          <w:bCs/>
          <w:b/>
        </w:rPr>
        <w:t xml:space="preserve">Post-Extraction Observation</w:t>
      </w:r>
    </w:p>
    <w:p>
      <w:pPr>
        <w:numPr>
          <w:ilvl w:val="0"/>
          <w:numId w:val="1003"/>
        </w:numPr>
        <w:pStyle w:val="Compact"/>
      </w:pPr>
      <w:r>
        <w:rPr>
          <w:bCs/>
          <w:b/>
        </w:rPr>
        <w:t xml:space="preserve">Test Article</w:t>
      </w:r>
      <w:r>
        <w:t xml:space="preserve">: No significant color changes were observed, and the extract remained clear.</w:t>
      </w:r>
    </w:p>
    <w:p>
      <w:pPr>
        <w:numPr>
          <w:ilvl w:val="0"/>
          <w:numId w:val="1003"/>
        </w:numPr>
        <w:pStyle w:val="Compact"/>
      </w:pPr>
      <w:r>
        <w:rPr>
          <w:bCs/>
          <w:b/>
        </w:rPr>
        <w:t xml:space="preserve">Negative Control</w:t>
      </w:r>
      <w:r>
        <w:t xml:space="preserve">: No significant color changes were observed, and the extract remained clear.</w:t>
      </w:r>
    </w:p>
    <w:p>
      <w:pPr>
        <w:numPr>
          <w:ilvl w:val="0"/>
          <w:numId w:val="1003"/>
        </w:numPr>
        <w:pStyle w:val="Compact"/>
      </w:pPr>
      <w:r>
        <w:rPr>
          <w:bCs/>
          <w:b/>
        </w:rPr>
        <w:t xml:space="preserve">Positive Control</w:t>
      </w:r>
      <w:r>
        <w:t xml:space="preserve">: The extract became cloudy, and filtration was required before use.</w:t>
      </w:r>
    </w:p>
    <w:p>
      <w:pPr>
        <w:pStyle w:val="FirstParagraph"/>
      </w:pPr>
      <w:r>
        <w:t xml:space="preserve">No pH adjustments, centrifugation, or dilution processes were performed on the test and control samples.</w:t>
      </w:r>
    </w:p>
    <w:bookmarkEnd w:id="45"/>
    <w:bookmarkStart w:id="46" w:name="morphological-scoring"/>
    <w:p>
      <w:pPr>
        <w:pStyle w:val="Heading3"/>
      </w:pPr>
      <w:r>
        <w:t xml:space="preserve">Morphological Scoring</w:t>
      </w:r>
    </w:p>
    <w:p>
      <w:pPr>
        <w:pStyle w:val="FirstParagraph"/>
      </w:pPr>
      <w:r>
        <w:t xml:space="preserve">Each sample was tested in triplicate. The table below shows the results</w:t>
      </w:r>
      <w:r>
        <w:t xml:space="preserve"> </w:t>
      </w:r>
      <w:r>
        <w:t xml:space="preserve">of the qualitative assessment of cytotoxicity:</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rPr>
                <w:bCs/>
                <w:b/>
              </w:rPr>
              <w:t xml:space="preserve">Sample</w:t>
            </w:r>
          </w:p>
        </w:tc>
        <w:tc>
          <w:tcPr/>
          <w:p>
            <w:pPr>
              <w:pStyle w:val="Compact"/>
              <w:jc w:val="left"/>
            </w:pPr>
            <w:r>
              <w:rPr>
                <w:bCs/>
                <w:b/>
              </w:rPr>
              <w:t xml:space="preserve">Replicate 1</w:t>
            </w:r>
          </w:p>
        </w:tc>
        <w:tc>
          <w:tcPr/>
          <w:p>
            <w:pPr>
              <w:pStyle w:val="Compact"/>
              <w:jc w:val="left"/>
            </w:pPr>
            <w:r>
              <w:rPr>
                <w:bCs/>
                <w:b/>
              </w:rPr>
              <w:t xml:space="preserve">Replicate 2</w:t>
            </w:r>
          </w:p>
        </w:tc>
        <w:tc>
          <w:tcPr/>
          <w:p>
            <w:pPr>
              <w:pStyle w:val="Compact"/>
              <w:jc w:val="left"/>
            </w:pPr>
            <w:r>
              <w:rPr>
                <w:bCs/>
                <w:b/>
              </w:rPr>
              <w:t xml:space="preserve">Replicate 3</w:t>
            </w:r>
          </w:p>
        </w:tc>
        <w:tc>
          <w:tcPr/>
          <w:p>
            <w:pPr>
              <w:pStyle w:val="Compact"/>
              <w:jc w:val="left"/>
            </w:pPr>
            <w:r>
              <w:rPr>
                <w:bCs/>
                <w:b/>
              </w:rPr>
              <w:t xml:space="preserve">Modal Score</w:t>
            </w:r>
          </w:p>
        </w:tc>
      </w:tr>
      <w:tr>
        <w:tc>
          <w:tcPr/>
          <w:p>
            <w:pPr>
              <w:pStyle w:val="Compact"/>
              <w:jc w:val="left"/>
            </w:pPr>
            <w:r>
              <w:t xml:space="preserve">Test Article</w:t>
            </w:r>
          </w:p>
        </w:tc>
        <w:tc>
          <w:tcPr/>
          <w:p>
            <w:pPr>
              <w:pStyle w:val="Compact"/>
              <w:jc w:val="left"/>
            </w:pPr>
            <w:r>
              <w:t xml:space="preserve">0 (None)</w:t>
            </w:r>
          </w:p>
        </w:tc>
        <w:tc>
          <w:tcPr/>
          <w:p>
            <w:pPr>
              <w:pStyle w:val="Compact"/>
              <w:jc w:val="left"/>
            </w:pPr>
            <w:r>
              <w:t xml:space="preserve">0 (None)</w:t>
            </w:r>
          </w:p>
        </w:tc>
        <w:tc>
          <w:tcPr/>
          <w:p>
            <w:pPr>
              <w:pStyle w:val="Compact"/>
              <w:jc w:val="left"/>
            </w:pPr>
            <w:r>
              <w:t xml:space="preserve">0 (None)</w:t>
            </w:r>
          </w:p>
        </w:tc>
        <w:tc>
          <w:tcPr/>
          <w:p>
            <w:pPr>
              <w:pStyle w:val="Compact"/>
              <w:jc w:val="left"/>
            </w:pPr>
            <w:r>
              <w:t xml:space="preserve">0 (None)</w:t>
            </w:r>
          </w:p>
        </w:tc>
      </w:tr>
      <w:tr>
        <w:tc>
          <w:tcPr/>
          <w:p>
            <w:pPr>
              <w:pStyle w:val="Compact"/>
              <w:jc w:val="left"/>
            </w:pPr>
            <w:r>
              <w:t xml:space="preserve">Positive Control</w:t>
            </w:r>
          </w:p>
        </w:tc>
        <w:tc>
          <w:tcPr/>
          <w:p>
            <w:pPr>
              <w:pStyle w:val="Compact"/>
              <w:jc w:val="left"/>
            </w:pPr>
            <w:r>
              <w:t xml:space="preserve">4 (Severe)</w:t>
            </w:r>
          </w:p>
        </w:tc>
        <w:tc>
          <w:tcPr/>
          <w:p>
            <w:pPr>
              <w:pStyle w:val="Compact"/>
              <w:jc w:val="left"/>
            </w:pPr>
            <w:r>
              <w:t xml:space="preserve">4 (Severe)</w:t>
            </w:r>
          </w:p>
        </w:tc>
        <w:tc>
          <w:tcPr/>
          <w:p>
            <w:pPr>
              <w:pStyle w:val="Compact"/>
              <w:jc w:val="left"/>
            </w:pPr>
            <w:r>
              <w:t xml:space="preserve">4 (Severe)</w:t>
            </w:r>
          </w:p>
        </w:tc>
        <w:tc>
          <w:tcPr/>
          <w:p>
            <w:pPr>
              <w:pStyle w:val="Compact"/>
              <w:jc w:val="left"/>
            </w:pPr>
            <w:r>
              <w:t xml:space="preserve">4 (Severe)</w:t>
            </w:r>
          </w:p>
        </w:tc>
      </w:tr>
      <w:tr>
        <w:tc>
          <w:tcPr/>
          <w:p>
            <w:pPr>
              <w:pStyle w:val="Compact"/>
              <w:jc w:val="left"/>
            </w:pPr>
            <w:r>
              <w:t xml:space="preserve">Negative Control</w:t>
            </w:r>
          </w:p>
        </w:tc>
        <w:tc>
          <w:tcPr/>
          <w:p>
            <w:pPr>
              <w:pStyle w:val="Compact"/>
              <w:jc w:val="left"/>
            </w:pPr>
            <w:r>
              <w:t xml:space="preserve">0 (None)</w:t>
            </w:r>
          </w:p>
        </w:tc>
        <w:tc>
          <w:tcPr/>
          <w:p>
            <w:pPr>
              <w:pStyle w:val="Compact"/>
              <w:jc w:val="left"/>
            </w:pPr>
            <w:r>
              <w:t xml:space="preserve">0 (None)</w:t>
            </w:r>
          </w:p>
        </w:tc>
        <w:tc>
          <w:tcPr/>
          <w:p>
            <w:pPr>
              <w:pStyle w:val="Compact"/>
              <w:jc w:val="left"/>
            </w:pPr>
            <w:r>
              <w:t xml:space="preserve">0 (None)</w:t>
            </w:r>
          </w:p>
        </w:tc>
        <w:tc>
          <w:tcPr/>
          <w:p>
            <w:pPr>
              <w:pStyle w:val="Compact"/>
              <w:jc w:val="left"/>
            </w:pPr>
            <w:r>
              <w:t xml:space="preserve">0 (None)</w:t>
            </w:r>
          </w:p>
        </w:tc>
      </w:tr>
      <w:tr>
        <w:tc>
          <w:tcPr/>
          <w:p>
            <w:pPr>
              <w:pStyle w:val="Compact"/>
              <w:jc w:val="left"/>
            </w:pPr>
            <w:r>
              <w:t xml:space="preserve">Blank Control</w:t>
            </w:r>
          </w:p>
        </w:tc>
        <w:tc>
          <w:tcPr/>
          <w:p>
            <w:pPr>
              <w:pStyle w:val="Compact"/>
              <w:jc w:val="left"/>
            </w:pPr>
            <w:r>
              <w:t xml:space="preserve">0 (None)</w:t>
            </w:r>
          </w:p>
        </w:tc>
        <w:tc>
          <w:tcPr/>
          <w:p>
            <w:pPr>
              <w:pStyle w:val="Compact"/>
              <w:jc w:val="left"/>
            </w:pPr>
            <w:r>
              <w:t xml:space="preserve">0 (None)</w:t>
            </w:r>
          </w:p>
        </w:tc>
        <w:tc>
          <w:tcPr/>
          <w:p>
            <w:pPr>
              <w:pStyle w:val="Compact"/>
              <w:jc w:val="left"/>
            </w:pPr>
            <w:r>
              <w:t xml:space="preserve">0 (None)</w:t>
            </w:r>
          </w:p>
        </w:tc>
        <w:tc>
          <w:tcPr/>
          <w:p>
            <w:pPr>
              <w:pStyle w:val="Compact"/>
              <w:jc w:val="left"/>
            </w:pPr>
            <w:r>
              <w:t xml:space="preserve">0 (None)</w:t>
            </w:r>
          </w:p>
        </w:tc>
      </w:tr>
    </w:tbl>
    <w:bookmarkEnd w:id="46"/>
    <w:bookmarkEnd w:id="47"/>
    <w:bookmarkStart w:id="48" w:name="conclusion-1"/>
    <w:p>
      <w:pPr>
        <w:pStyle w:val="Heading2"/>
      </w:pPr>
      <w:r>
        <w:t xml:space="preserve">Conclusion</w:t>
      </w:r>
    </w:p>
    <w:p>
      <w:pPr>
        <w:pStyle w:val="FirstParagraph"/>
      </w:pPr>
      <w:r>
        <w:t xml:space="preserve">The</w:t>
      </w:r>
      <w:r>
        <w:t xml:space="preserve"> </w:t>
      </w:r>
      <w:r>
        <w:rPr>
          <w:bCs/>
          <w:b/>
        </w:rPr>
        <w:t xml:space="preserve">test article extract</w:t>
      </w:r>
      <w:r>
        <w:t xml:space="preserve">, when tested in triplicate, did not exhibit</w:t>
      </w:r>
      <w:r>
        <w:t xml:space="preserve"> </w:t>
      </w:r>
      <w:r>
        <w:t xml:space="preserve">any cytotoxic effects at the tested concentration, as indicated by the</w:t>
      </w:r>
      <w:r>
        <w:t xml:space="preserve"> </w:t>
      </w:r>
      <w:r>
        <w:rPr>
          <w:bCs/>
          <w:b/>
        </w:rPr>
        <w:t xml:space="preserve">modal reactivity score</w:t>
      </w:r>
      <w:r>
        <w:t xml:space="preserve"> </w:t>
      </w:r>
      <w:r>
        <w:t xml:space="preserve">of</w:t>
      </w:r>
      <w:r>
        <w:t xml:space="preserve"> </w:t>
      </w:r>
      <w:r>
        <w:rPr>
          <w:bCs/>
          <w:b/>
        </w:rPr>
        <w:t xml:space="preserve">0 (None)</w:t>
      </w:r>
      <w:r>
        <w:t xml:space="preserve">. The positive control</w:t>
      </w:r>
      <w:r>
        <w:t xml:space="preserve"> </w:t>
      </w:r>
      <w:r>
        <w:t xml:space="preserve">demonstrated expected</w:t>
      </w:r>
      <w:r>
        <w:t xml:space="preserve"> </w:t>
      </w:r>
      <w:r>
        <w:rPr>
          <w:bCs/>
          <w:b/>
        </w:rPr>
        <w:t xml:space="preserve">severe cytotoxicity</w:t>
      </w:r>
      <w:r>
        <w:t xml:space="preserve">, while the negative and</w:t>
      </w:r>
      <w:r>
        <w:t xml:space="preserve"> </w:t>
      </w:r>
      <w:r>
        <w:t xml:space="preserve">blank controls showed</w:t>
      </w:r>
      <w:r>
        <w:t xml:space="preserve"> </w:t>
      </w:r>
      <w:r>
        <w:rPr>
          <w:bCs/>
          <w:b/>
        </w:rPr>
        <w:t xml:space="preserve">no cytotoxicity</w:t>
      </w:r>
      <w:r>
        <w:t xml:space="preserve">.</w:t>
      </w:r>
    </w:p>
    <w:bookmarkEnd w:id="48"/>
    <w:bookmarkStart w:id="49" w:name="record-storage"/>
    <w:p>
      <w:pPr>
        <w:pStyle w:val="Heading2"/>
      </w:pPr>
      <w:r>
        <w:t xml:space="preserve">Record Storage</w:t>
      </w:r>
    </w:p>
    <w:p>
      <w:pPr>
        <w:pStyle w:val="FirstParagraph"/>
      </w:pPr>
      <w:r>
        <w:t xml:space="preserve">All raw data generated during this study, along with a copy of the final</w:t>
      </w:r>
      <w:r>
        <w:t xml:space="preserve"> </w:t>
      </w:r>
      <w:r>
        <w:t xml:space="preserve">report, have been securely archived at</w:t>
      </w:r>
      <w:r>
        <w:t xml:space="preserve"> </w:t>
      </w:r>
      <w:r>
        <w:rPr>
          <w:bCs/>
          <w:b/>
        </w:rPr>
        <w:t xml:space="preserve">ACME Labs</w:t>
      </w:r>
      <w:r>
        <w:t xml:space="preserve">’ designated storage</w:t>
      </w:r>
      <w:r>
        <w:t xml:space="preserve"> </w:t>
      </w:r>
      <w:r>
        <w:t xml:space="preserve">facility in accordance with internal protocols and regulatory</w:t>
      </w:r>
      <w:r>
        <w:t xml:space="preserve"> </w:t>
      </w:r>
      <w:r>
        <w:t xml:space="preserve">requirements.</w:t>
      </w:r>
    </w:p>
    <w:bookmarkEnd w:id="49"/>
    <w:bookmarkStart w:id="50" w:name="confidentiality-agreement"/>
    <w:p>
      <w:pPr>
        <w:pStyle w:val="Heading2"/>
      </w:pPr>
      <w:r>
        <w:t xml:space="preserve">Confidentiality Agreement</w:t>
      </w:r>
    </w:p>
    <w:p>
      <w:pPr>
        <w:pStyle w:val="FirstParagraph"/>
      </w:pPr>
      <w:r>
        <w:t xml:space="preserve">The confidentiality of all data and study-related materials has been</w:t>
      </w:r>
      <w:r>
        <w:t xml:space="preserve"> </w:t>
      </w:r>
      <w:r>
        <w:t xml:space="preserve">maintained as per the confidentiality agreement established prior to the</w:t>
      </w:r>
      <w:r>
        <w:t xml:space="preserve"> </w:t>
      </w:r>
      <w:r>
        <w:t xml:space="preserve">initiation of the study.</w:t>
      </w:r>
    </w:p>
    <w:bookmarkEnd w:id="50"/>
    <w:bookmarkStart w:id="51" w:name="deviation-statement"/>
    <w:p>
      <w:pPr>
        <w:pStyle w:val="Heading2"/>
      </w:pPr>
      <w:r>
        <w:t xml:space="preserve">Deviation Statement</w:t>
      </w:r>
    </w:p>
    <w:p>
      <w:pPr>
        <w:pStyle w:val="FirstParagraph"/>
      </w:pPr>
      <w:r>
        <w:t xml:space="preserve">There were no deviations from the approved study protocol that would</w:t>
      </w:r>
      <w:r>
        <w:t xml:space="preserve"> </w:t>
      </w:r>
      <w:r>
        <w:t xml:space="preserve">impact the validity or integrity of the data.</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10993-5 MEM Elution Test Report</dc:title>
  <dc:creator/>
  <cp:keywords/>
  <dcterms:created xsi:type="dcterms:W3CDTF">2024-09-22T22:38:16Z</dcterms:created>
  <dcterms:modified xsi:type="dcterms:W3CDTF">2024-09-22T22:38:16Z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summarizes the results of the MEM Elution assay for the cytotoxicity testing of Dehydrated Boulders. The purpose of this test is to assess the cytotoxic potential of the test article to determine if the material exhibits any toxic effects on mammalian cells.</vt:lpwstr>
  </property>
  <property fmtid="{D5CDD505-2E9C-101B-9397-08002B2CF9AE}" pid="3" name="date">
    <vt:lpwstr>September 22, 2024</vt:lpwstr>
  </property>
  <property fmtid="{D5CDD505-2E9C-101B-9397-08002B2CF9AE}" pid="4" name="editor_options">
    <vt:lpwstr/>
  </property>
  <property fmtid="{D5CDD505-2E9C-101B-9397-08002B2CF9AE}" pid="5" name="fontsize">
    <vt:lpwstr>12pt</vt:lpwstr>
  </property>
  <property fmtid="{D5CDD505-2E9C-101B-9397-08002B2CF9AE}" pid="6" name="geometry">
    <vt:lpwstr>margin=1in</vt:lpwstr>
  </property>
  <property fmtid="{D5CDD505-2E9C-101B-9397-08002B2CF9AE}" pid="7" name="header-includes">
    <vt:lpwstr/>
  </property>
  <property fmtid="{D5CDD505-2E9C-101B-9397-08002B2CF9AE}" pid="8" name="output">
    <vt:lpwstr/>
  </property>
  <property fmtid="{D5CDD505-2E9C-101B-9397-08002B2CF9AE}" pid="9" name="params">
    <vt:lpwstr/>
  </property>
  <property fmtid="{D5CDD505-2E9C-101B-9397-08002B2CF9AE}" pid="10" name="subtitle">
    <vt:lpwstr>Assessment of Dehydrated Boulders</vt:lpwstr>
  </property>
</Properties>
</file>