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8bd83b4a764d0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Hospital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10,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1ded4aa2f78648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518e96e34a194fb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54e724af0924b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8123449557294ade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5ede236a9047c4" /><Relationship Type="http://schemas.openxmlformats.org/officeDocument/2006/relationships/numbering" Target="/word/numbering.xml" Id="Rcbf54099df554871" /><Relationship Type="http://schemas.openxmlformats.org/officeDocument/2006/relationships/image" Target="/media/image.jpg" Id="R1ded4aa2f7864890" /><Relationship Type="http://schemas.openxmlformats.org/officeDocument/2006/relationships/image" Target="/media/image2.jpg" Id="R518e96e34a194fb6" /><Relationship Type="http://schemas.openxmlformats.org/officeDocument/2006/relationships/image" Target="/media/image3.jpg" Id="R454e724af0924b06" /><Relationship Type="http://schemas.openxmlformats.org/officeDocument/2006/relationships/header" Target="/word/header1.xml" Id="R8123449557294ade" /></Relationships>
</file>