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315df1dfe941d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Hospital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c92a60dc5b644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4e52697c11584f3a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7185b4afc6c249f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Motor Control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Control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Impeller Diameter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Model Status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Motor Efficiency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Motor Manufacturer</w:t>
            </w:r>
          </w:p>
        </w:tc>
      </w:tr>
      <w:tr/>
    </w:tbl>
    <w:sectPr>
      <w:headerReference xmlns:r="http://schemas.openxmlformats.org/officeDocument/2006/relationships" w:type="default" r:id="R2240c69b67014f75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ea22f474b444a3" /><Relationship Type="http://schemas.openxmlformats.org/officeDocument/2006/relationships/numbering" Target="/word/numbering.xml" Id="R55ae115705c04c9d" /><Relationship Type="http://schemas.openxmlformats.org/officeDocument/2006/relationships/image" Target="/media/image.jpg" Id="Rac92a60dc5b64478" /><Relationship Type="http://schemas.openxmlformats.org/officeDocument/2006/relationships/image" Target="/media/image2.jpg" Id="R4e52697c11584f3a" /><Relationship Type="http://schemas.openxmlformats.org/officeDocument/2006/relationships/image" Target="/media/image3.jpg" Id="R7185b4afc6c249fd" /><Relationship Type="http://schemas.openxmlformats.org/officeDocument/2006/relationships/header" Target="/word/header1.xml" Id="R2240c69b67014f75" /></Relationships>
</file>