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1. 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2. 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the numeric covariates.</w:t>
      </w:r>
    </w:p>
    <w:bookmarkStart w:id="22" w:name="time-variables-adppk"/>
    <w:p>
      <w:pPr>
        <w:pStyle w:val="Heading2"/>
      </w:pPr>
      <w:r>
        <w:t xml:space="preserve">2.1 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2.2 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t xml:space="preserve">2.3</w:t>
      </w:r>
      <w:r>
        <w:t xml:space="preserve"> </w:t>
      </w: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218"/>
        <w:gridCol w:w="6701"/>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41" w:name="admiral"/>
    <w:p>
      <w:pPr>
        <w:pStyle w:val="Heading1"/>
      </w:pPr>
      <w:r>
        <w:t xml:space="preserve">3. </w:t>
      </w: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w:t>
      </w:r>
      <w:r>
        <w:t xml:space="preserve"> </w:t>
      </w:r>
      <w:r>
        <w:rPr>
          <w:rStyle w:val="VerbatimChar"/>
        </w:rPr>
        <w:t xml:space="preserve">{admiral}</w:t>
      </w:r>
      <w:r>
        <w:t xml:space="preserve"> </w:t>
      </w:r>
      <w:r>
        <w:t xml:space="preserve">functions used are listed below:</w:t>
      </w:r>
    </w:p>
    <w:bookmarkStart w:id="26" w:name="admiral-functions-used"/>
    <w:p>
      <w:pPr>
        <w:pStyle w:val="Heading2"/>
      </w:pPr>
      <w:r>
        <w:t xml:space="preserve">3.1</w:t>
      </w:r>
      <w:r>
        <w:t xml:space="preserve"> </w:t>
      </w: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6"/>
    <w:bookmarkStart w:id="28" w:name="pharmaverse"/>
    <w:p>
      <w:pPr>
        <w:pStyle w:val="Heading2"/>
      </w:pPr>
      <w:r>
        <w:t xml:space="preserve">3.2 Pharmaverse</w:t>
      </w:r>
    </w:p>
    <w:p>
      <w:pPr>
        <w:pStyle w:val="FirstParagraph"/>
      </w:pPr>
      <w:r>
        <w:t xml:space="preserve">In addition to</w:t>
      </w:r>
      <w:r>
        <w:t xml:space="preserve"> </w:t>
      </w:r>
      <w:r>
        <w:rPr>
          <w:rStyle w:val="VerbatimChar"/>
        </w:rPr>
        <w:t xml:space="preserve">{admiral}</w:t>
      </w:r>
      <w:r>
        <w:t xml:space="preserve"> </w:t>
      </w:r>
      <w:r>
        <w:t xml:space="preserve">I will use several other packages from the Pharmaverse</w:t>
      </w:r>
      <w:r>
        <w:t xml:space="preserve"> </w:t>
      </w:r>
      <w:hyperlink r:id="rId27">
        <w:r>
          <w:rPr>
            <w:rStyle w:val="Hyperlink"/>
          </w:rPr>
          <w:t xml:space="preserve">https://pharmaverse.org/</w:t>
        </w:r>
      </w:hyperlink>
      <w:r>
        <w:t xml:space="preserve"> </w:t>
      </w:r>
      <w:r>
        <w:t xml:space="preserve">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8"/>
    <w:bookmarkStart w:id="30" w:name="programming-workflow."/>
    <w:p>
      <w:pPr>
        <w:pStyle w:val="Heading2"/>
      </w:pPr>
      <w:r>
        <w:t xml:space="preserve">3.3 Programming Workflow.</w:t>
      </w:r>
    </w:p>
    <w:p>
      <w:pPr>
        <w:pStyle w:val="FirstParagraph"/>
      </w:pPr>
      <w:r>
        <w:t xml:space="preserve">The complete programming workflow for building the ADPPK analysis dataset can be found on the Pharmaverse examples website</w:t>
      </w:r>
      <w:r>
        <w:t xml:space="preserve"> </w:t>
      </w:r>
      <w:hyperlink r:id="rId29">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End w:id="30"/>
    <w:bookmarkStart w:id="37" w:name="load-specifications-for-metacore"/>
    <w:p>
      <w:pPr>
        <w:pStyle w:val="Heading2"/>
      </w:pPr>
      <w:r>
        <w:t xml:space="preserve">3.4 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1">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Start w:id="32" w:name="derive-pc-dates"/>
    <w:p>
      <w:pPr>
        <w:pStyle w:val="Heading3"/>
      </w:pPr>
      <w:r>
        <w:t xml:space="preserve">3.4.1 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2"/>
    <w:bookmarkStart w:id="33" w:name="expand-dosing-records"/>
    <w:p>
      <w:pPr>
        <w:pStyle w:val="Heading3"/>
      </w:pPr>
      <w:r>
        <w:t xml:space="preserve">3.4.2 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3"/>
    <w:bookmarkStart w:id="34" w:name="find-first-dose"/>
    <w:p>
      <w:pPr>
        <w:pStyle w:val="Heading3"/>
      </w:pPr>
      <w:r>
        <w:t xml:space="preserve">3.4.3 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4"/>
    <w:bookmarkStart w:id="35" w:name="find-previous-dose"/>
    <w:p>
      <w:pPr>
        <w:pStyle w:val="Heading3"/>
      </w:pPr>
      <w:r>
        <w:t xml:space="preserve">3.4.4 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5"/>
    <w:bookmarkStart w:id="36" w:name="find-previous-nominal-dose"/>
    <w:p>
      <w:pPr>
        <w:pStyle w:val="Heading3"/>
      </w:pPr>
      <w:r>
        <w:t xml:space="preserve">3.4.5 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6"/>
    <w:bookmarkEnd w:id="37"/>
    <w:bookmarkStart w:id="38" w:name="derive-covariates-using-metacore"/>
    <w:p>
      <w:pPr>
        <w:pStyle w:val="Heading2"/>
      </w:pPr>
      <w:r>
        <w:t xml:space="preserve">3.5 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8"/>
    <w:bookmarkStart w:id="39" w:name="check-data-with-metacore"/>
    <w:p>
      <w:pPr>
        <w:pStyle w:val="Heading2"/>
      </w:pPr>
      <w:r>
        <w:t xml:space="preserve">3.6 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br/>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9"/>
    <w:bookmarkStart w:id="40" w:name="apply-labels-and-formats-with-xportr"/>
    <w:p>
      <w:pPr>
        <w:pStyle w:val="Heading2"/>
      </w:pPr>
      <w:r>
        <w:t xml:space="preserve">3.7 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0"/>
    <w:bookmarkEnd w:id="41"/>
    <w:bookmarkStart w:id="42" w:name="conclusions"/>
    <w:p>
      <w:pPr>
        <w:pStyle w:val="Heading1"/>
      </w:pPr>
      <w:r>
        <w:t xml:space="preserve">4. Conclusions</w:t>
      </w:r>
    </w:p>
    <w:p>
      <w:pPr>
        <w:pStyle w:val="FirstParagraph"/>
      </w:pPr>
      <w:r>
        <w:t xml:space="preserve">Analsis data standards for Population PK (ADPPK) have been recently released. Within a few years submissions to regulatory agencies such as the FDA may require submissions of ADPPK analysis data. As we begin to see submissions programmed in R the use of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42"/>
    <w:bookmarkStart w:id="43" w:name="contact-information"/>
    <w:p>
      <w:pPr>
        <w:pStyle w:val="Heading1"/>
      </w:pPr>
      <w:r>
        <w:t xml:space="preserve">5. 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 www.navitaslifesciences.com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pharmaverse/examples/blob/main/adam/pk_spec.xlsx" TargetMode="External" /><Relationship Type="http://schemas.openxmlformats.org/officeDocument/2006/relationships/hyperlink" Id="rId29"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harmaverse/examples/blob/main/adam/pk_spec.xlsx" TargetMode="External" /><Relationship Type="http://schemas.openxmlformats.org/officeDocument/2006/relationships/hyperlink" Id="rId29"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2024-01-24T17:41:58Z</dcterms:created>
  <dcterms:modified xsi:type="dcterms:W3CDTF">2024-01-24T17:41:58Z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