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Title-Subtitle"/>
      </w:pPr>
      <w:r>
        <w:t xml:space="preserve">AI Tool Evaluation Checklist</w:t>
      </w:r>
    </w:p>
    <w:p>
      <w:pPr>
        <w:pStyle w:val="DocSubtitle"/>
      </w:pPr>
      <w:r>
        <w:t xml:space="preserve">Mays Business School | Teaching &amp; Learning Innovation</w:t>
      </w:r>
    </w:p>
    <w:p>
      <w:pPr>
        <w:pStyle w:val="Heading2"/>
      </w:pPr>
      <w:r>
        <w:t xml:space="preserve">Purpose</w:t>
      </w:r>
    </w:p>
    <w:p>
      <w:r>
        <w:t xml:space="preserve">This checklist governs the adoption of new AI tools into the Teaching &amp; Learning Innovation technology stack at Mays Business School. It ensures every tool evaluated for institutional use meets baseline compliance, security, and accessibility thresholds before any investment of time, budget, or course design effort. Use this checklist for any generative AI, adaptive learning, or AI-augmented tool that will touch student data, be embedded in a course, or be made available to faculty through TLI.</w:t>
      </w:r>
    </w:p>
    <w:p>
      <w:pPr>
        <w:pStyle w:val="Heading2"/>
      </w:pPr>
      <w:r>
        <w:t xml:space="preserve">How this checklist is used</w:t>
      </w:r>
    </w:p>
    <w:p>
      <w:r>
        <w:t xml:space="preserve">Every tool evaluation moves through three sequential stages. No tool may be adopted until all three stages are complete and documented.</w:t>
      </w:r>
    </w:p>
    <w:p>
      <w:pPr>
        <w:pStyle w:val="Heading4"/>
      </w:pPr>
      <w:r>
        <w:t xml:space="preserve">Stage 1 | Designer pre-screen</w:t>
      </w:r>
    </w:p>
    <w:p>
      <w:r>
        <w:t xml:space="preserve">The learning designer requesting the tool completes the full checklist. All hard gates in Section 1 must pass. The rubric in Section 2 is scored by the designer as a first cut. If any hard gate fails, the evaluation is auto-rejected with documentation and does not proceed.</w:t>
      </w:r>
    </w:p>
    <w:p>
      <w:pPr>
        <w:pStyle w:val="Heading4"/>
      </w:pPr>
      <w:r>
        <w:t xml:space="preserve">Stage 2 | AI Committee review</w:t>
      </w:r>
    </w:p>
    <w:p>
      <w:r>
        <w:t xml:space="preserve">The TLI AI Committee reviews the designer's submission, verifies evidence for each gate, and validates or revises the rubric scores. The committee documents its recommendation (approve, approve with conditions, reject) in the sign-off block on the final page.</w:t>
      </w:r>
    </w:p>
    <w:p>
      <w:pPr>
        <w:pStyle w:val="Heading4"/>
      </w:pPr>
      <w:r>
        <w:t xml:space="preserve">Stage 3 | Executive Director approval</w:t>
      </w:r>
    </w:p>
    <w:p>
      <w:r>
        <w:t xml:space="preserve">The Executive Director of Teaching &amp; Learning Innovation provides the final institutional sign-off based on the committee recommendation. Approvals, conditional approvals, and rejections are archived in the TLI tool registry for audit and future reference.</w:t>
      </w:r>
    </w:p>
    <w:p>
      <w:pPr>
        <w:pStyle w:val="Heading2"/>
      </w:pPr>
      <w:r>
        <w:t xml:space="preserve">Tool under evaluation</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6120"/>
      </w:tblGrid>
      <w:tr>
        <w:trPr>
          <w:tblHeader/>
        </w:trPr>
        <w:tc>
          <w:tcPr>
            <w:tcW w:w="2880" w:type="dxa"/>
            <w:shd w:val="clear" w:color="auto" w:fill="500000"/>
          </w:tcPr>
          <w:p>
            <w:pPr>
              <w:pStyle w:val="TableHeading"/>
            </w:pPr>
            <w:r>
              <w:rPr>
                <w:b/>
                <w:color w:val="FFFFFF"/>
              </w:rPr>
              <w:t xml:space="preserve">Field</w:t>
            </w:r>
          </w:p>
        </w:tc>
        <w:tc>
          <w:tcPr>
            <w:tcW w:w="6120" w:type="dxa"/>
            <w:shd w:val="clear" w:color="auto" w:fill="500000"/>
          </w:tcPr>
          <w:p>
            <w:pPr>
              <w:pStyle w:val="TableHeading"/>
            </w:pPr>
            <w:r>
              <w:rPr>
                <w:b/>
                <w:color w:val="FFFFFF"/>
              </w:rPr>
              <w:t xml:space="preserve">Entry</w:t>
            </w:r>
          </w:p>
        </w:tc>
      </w:tr>
      <w:tr>
        <w:tc>
          <w:tcPr>
            <w:tcW w:w="2880" w:type="dxa"/>
          </w:tcPr>
          <w:p>
            <w:pPr>
              <w:pStyle w:val="TableText"/>
            </w:pPr>
            <w:r>
              <w:t xml:space="preserve">Tool name</w:t>
            </w:r>
          </w:p>
        </w:tc>
        <w:tc>
          <w:tcPr>
            <w:tcW w:w="6120" w:type="dxa"/>
          </w:tcPr>
          <w:p>
            <w:pPr>
              <w:pStyle w:val="TableText"/>
            </w:pPr>
            <w:r>
              <w:t xml:space="preserve"> </w:t>
            </w:r>
          </w:p>
        </w:tc>
      </w:tr>
      <w:tr>
        <w:tc>
          <w:tcPr>
            <w:tcW w:w="2880" w:type="dxa"/>
          </w:tcPr>
          <w:p>
            <w:pPr>
              <w:pStyle w:val="TableText"/>
            </w:pPr>
            <w:r>
              <w:t xml:space="preserve">Vendor</w:t>
            </w:r>
          </w:p>
        </w:tc>
        <w:tc>
          <w:tcPr>
            <w:tcW w:w="6120" w:type="dxa"/>
          </w:tcPr>
          <w:p>
            <w:pPr>
              <w:pStyle w:val="TableText"/>
            </w:pPr>
            <w:r>
              <w:t xml:space="preserve"> </w:t>
            </w:r>
          </w:p>
        </w:tc>
      </w:tr>
      <w:tr>
        <w:tc>
          <w:tcPr>
            <w:tcW w:w="2880" w:type="dxa"/>
          </w:tcPr>
          <w:p>
            <w:pPr>
              <w:pStyle w:val="TableText"/>
            </w:pPr>
            <w:r>
              <w:t xml:space="preserve">Proposed use case</w:t>
            </w:r>
          </w:p>
        </w:tc>
        <w:tc>
          <w:tcPr>
            <w:tcW w:w="6120" w:type="dxa"/>
          </w:tcPr>
          <w:p>
            <w:pPr>
              <w:pStyle w:val="TableText"/>
            </w:pPr>
            <w:r>
              <w:t xml:space="preserve"> </w:t>
            </w:r>
          </w:p>
        </w:tc>
      </w:tr>
      <w:tr>
        <w:tc>
          <w:tcPr>
            <w:tcW w:w="2880" w:type="dxa"/>
          </w:tcPr>
          <w:p>
            <w:pPr>
              <w:pStyle w:val="TableText"/>
            </w:pPr>
            <w:r>
              <w:t xml:space="preserve">Requesting designer</w:t>
            </w:r>
          </w:p>
        </w:tc>
        <w:tc>
          <w:tcPr>
            <w:tcW w:w="6120" w:type="dxa"/>
          </w:tcPr>
          <w:p>
            <w:pPr>
              <w:pStyle w:val="TableText"/>
            </w:pPr>
            <w:r>
              <w:t xml:space="preserve"> </w:t>
            </w:r>
          </w:p>
        </w:tc>
      </w:tr>
      <w:tr>
        <w:tc>
          <w:tcPr>
            <w:tcW w:w="2880" w:type="dxa"/>
          </w:tcPr>
          <w:p>
            <w:pPr>
              <w:pStyle w:val="TableText"/>
            </w:pPr>
            <w:r>
              <w:t xml:space="preserve">Evaluation date</w:t>
            </w:r>
          </w:p>
        </w:tc>
        <w:tc>
          <w:tcPr>
            <w:tcW w:w="6120" w:type="dxa"/>
          </w:tcPr>
          <w:p>
            <w:pPr>
              <w:pStyle w:val="TableText"/>
            </w:pPr>
            <w:r>
              <w:t xml:space="preserve"> </w:t>
            </w:r>
          </w:p>
        </w:tc>
      </w:tr>
      <w:tr>
        <w:tc>
          <w:tcPr>
            <w:tcW w:w="2880" w:type="dxa"/>
          </w:tcPr>
          <w:p>
            <w:pPr>
              <w:pStyle w:val="TableText"/>
            </w:pPr>
            <w:r>
              <w:t xml:space="preserve">Evaluation ID</w:t>
            </w:r>
          </w:p>
        </w:tc>
        <w:tc>
          <w:tcPr>
            <w:tcW w:w="6120" w:type="dxa"/>
          </w:tcPr>
          <w:p>
            <w:pPr>
              <w:pStyle w:val="TableText"/>
            </w:pPr>
            <w:r>
              <w:t xml:space="preserve"> </w:t>
            </w:r>
          </w:p>
        </w:tc>
      </w:tr>
    </w:tbl>
    <w:p/>
    <w:p>
      <w:pPr>
        <w:pStyle w:val="Heading2"/>
      </w:pPr>
      <w:r>
        <w:t xml:space="preserve">Section 1 | Hard gates (pass/fail)</w:t>
      </w:r>
    </w:p>
    <w:p>
      <w:r>
        <w:t xml:space="preserve">Every gate below must be marked Pass with evidence. Any Fail automatically disqualifies the tool regardless of rubric performance in Section 2.</w:t>
      </w:r>
    </w:p>
    <w:p>
      <w:pPr>
        <w:pStyle w:val="Heading4"/>
      </w:pPr>
      <w:r>
        <w:t xml:space="preserve">Gate 1.1 | Data privacy, FERPA, and data ownership</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100"/>
        <w:gridCol w:w="3600"/>
        <w:gridCol w:w="2300"/>
      </w:tblGrid>
      <w:tr>
        <w:trPr>
          <w:tblHeader/>
        </w:trPr>
        <w:tc>
          <w:tcPr>
            <w:tcW w:w="3100" w:type="dxa"/>
            <w:shd w:val="clear" w:color="auto" w:fill="500000"/>
          </w:tcPr>
          <w:p>
            <w:pPr>
              <w:pStyle w:val="TableHeading"/>
            </w:pPr>
            <w:r>
              <w:rPr>
                <w:b/>
                <w:color w:val="FFFFFF"/>
              </w:rPr>
              <w:t xml:space="preserve">Requirement</w:t>
            </w:r>
          </w:p>
        </w:tc>
        <w:tc>
          <w:tcPr>
            <w:tcW w:w="3600" w:type="dxa"/>
            <w:shd w:val="clear" w:color="auto" w:fill="500000"/>
          </w:tcPr>
          <w:p>
            <w:pPr>
              <w:pStyle w:val="TableHeading"/>
            </w:pPr>
            <w:r>
              <w:rPr>
                <w:b/>
                <w:color w:val="FFFFFF"/>
              </w:rPr>
              <w:t xml:space="preserve">Evidence required</w:t>
            </w:r>
          </w:p>
        </w:tc>
        <w:tc>
          <w:tcPr>
            <w:tcW w:w="2300" w:type="dxa"/>
            <w:shd w:val="clear" w:color="auto" w:fill="500000"/>
          </w:tcPr>
          <w:p>
            <w:pPr>
              <w:pStyle w:val="TableHeading"/>
            </w:pPr>
            <w:r>
              <w:rPr>
                <w:b/>
                <w:color w:val="FFFFFF"/>
              </w:rPr>
              <w:t xml:space="preserve">Pass / Fail</w:t>
            </w:r>
          </w:p>
        </w:tc>
      </w:tr>
      <w:tr>
        <w:tc>
          <w:tcPr>
            <w:tcW w:w="3100" w:type="dxa"/>
          </w:tcPr>
          <w:p>
            <w:pPr>
              <w:pStyle w:val="TableText"/>
            </w:pPr>
            <w:r>
              <w:t xml:space="preserve">Vendor signs TAMU Data Processing Agreement or equivalent DPA</w:t>
            </w:r>
          </w:p>
        </w:tc>
        <w:tc>
          <w:tcPr>
            <w:tcW w:w="3600" w:type="dxa"/>
          </w:tcPr>
          <w:p>
            <w:pPr>
              <w:pStyle w:val="TableText"/>
            </w:pPr>
            <w:r>
              <w:t xml:space="preserve">Executed DPA on file with TLI</w:t>
            </w:r>
          </w:p>
        </w:tc>
        <w:tc>
          <w:tcPr>
            <w:tcW w:w="2300" w:type="dxa"/>
          </w:tcPr>
          <w:p>
            <w:pPr>
              <w:pStyle w:val="TableText"/>
            </w:pPr>
            <w:r>
              <w:t xml:space="preserve"> </w:t>
            </w:r>
          </w:p>
        </w:tc>
      </w:tr>
      <w:tr>
        <w:tc>
          <w:tcPr>
            <w:tcW w:w="3100" w:type="dxa"/>
          </w:tcPr>
          <w:p>
            <w:pPr>
              <w:pStyle w:val="TableText"/>
            </w:pPr>
            <w:r>
              <w:t xml:space="preserve">No student PII is used to train the vendor's models</w:t>
            </w:r>
          </w:p>
        </w:tc>
        <w:tc>
          <w:tcPr>
            <w:tcW w:w="3600" w:type="dxa"/>
          </w:tcPr>
          <w:p>
            <w:pPr>
              <w:pStyle w:val="TableText"/>
            </w:pPr>
            <w:r>
              <w:t xml:space="preserve">Written vendor statement + contract clause</w:t>
            </w:r>
          </w:p>
        </w:tc>
        <w:tc>
          <w:tcPr>
            <w:tcW w:w="2300" w:type="dxa"/>
          </w:tcPr>
          <w:p>
            <w:pPr>
              <w:pStyle w:val="TableText"/>
            </w:pPr>
            <w:r>
              <w:t xml:space="preserve"> </w:t>
            </w:r>
          </w:p>
        </w:tc>
      </w:tr>
      <w:tr>
        <w:tc>
          <w:tcPr>
            <w:tcW w:w="3100" w:type="dxa"/>
          </w:tcPr>
          <w:p>
            <w:pPr>
              <w:pStyle w:val="TableText"/>
            </w:pPr>
            <w:r>
              <w:t xml:space="preserve">Data residency complies with TAMU System policy (US storage, no cross-border transfer without waiver)</w:t>
            </w:r>
          </w:p>
        </w:tc>
        <w:tc>
          <w:tcPr>
            <w:tcW w:w="3600" w:type="dxa"/>
          </w:tcPr>
          <w:p>
            <w:pPr>
              <w:pStyle w:val="TableText"/>
            </w:pPr>
            <w:r>
              <w:t xml:space="preserve">Vendor data-residency documentation</w:t>
            </w:r>
          </w:p>
        </w:tc>
        <w:tc>
          <w:tcPr>
            <w:tcW w:w="2300" w:type="dxa"/>
          </w:tcPr>
          <w:p>
            <w:pPr>
              <w:pStyle w:val="TableText"/>
            </w:pPr>
            <w:r>
              <w:t xml:space="preserve"> </w:t>
            </w:r>
          </w:p>
        </w:tc>
      </w:tr>
      <w:tr>
        <w:tc>
          <w:tcPr>
            <w:tcW w:w="3100" w:type="dxa"/>
          </w:tcPr>
          <w:p>
            <w:pPr>
              <w:pStyle w:val="TableText"/>
            </w:pPr>
            <w:r>
              <w:t xml:space="preserve">Institution retains ownership of all inputs and outputs</w:t>
            </w:r>
          </w:p>
        </w:tc>
        <w:tc>
          <w:tcPr>
            <w:tcW w:w="3600" w:type="dxa"/>
          </w:tcPr>
          <w:p>
            <w:pPr>
              <w:pStyle w:val="TableText"/>
            </w:pPr>
            <w:r>
              <w:t xml:space="preserve">Contract language naming TAMU as data owner</w:t>
            </w:r>
          </w:p>
        </w:tc>
        <w:tc>
          <w:tcPr>
            <w:tcW w:w="2300" w:type="dxa"/>
          </w:tcPr>
          <w:p>
            <w:pPr>
              <w:pStyle w:val="TableText"/>
            </w:pPr>
            <w:r>
              <w:t xml:space="preserve"> </w:t>
            </w:r>
          </w:p>
        </w:tc>
      </w:tr>
      <w:tr>
        <w:tc>
          <w:tcPr>
            <w:tcW w:w="3100" w:type="dxa"/>
          </w:tcPr>
          <w:p>
            <w:pPr>
              <w:pStyle w:val="TableText"/>
            </w:pPr>
            <w:r>
              <w:t xml:space="preserve">Clear data deletion path at contract end (90 days or less)</w:t>
            </w:r>
          </w:p>
        </w:tc>
        <w:tc>
          <w:tcPr>
            <w:tcW w:w="3600" w:type="dxa"/>
          </w:tcPr>
          <w:p>
            <w:pPr>
              <w:pStyle w:val="TableText"/>
            </w:pPr>
            <w:r>
              <w:t xml:space="preserve">Contract clause specifying deletion SLA</w:t>
            </w:r>
          </w:p>
        </w:tc>
        <w:tc>
          <w:tcPr>
            <w:tcW w:w="2300" w:type="dxa"/>
          </w:tcPr>
          <w:p>
            <w:pPr>
              <w:pStyle w:val="TableText"/>
            </w:pPr>
            <w:r>
              <w:t xml:space="preserve"> </w:t>
            </w:r>
          </w:p>
        </w:tc>
      </w:tr>
      <w:tr>
        <w:tc>
          <w:tcPr>
            <w:tcW w:w="3100" w:type="dxa"/>
          </w:tcPr>
          <w:p>
            <w:pPr>
              <w:pStyle w:val="TableText"/>
            </w:pPr>
            <w:r>
              <w:t xml:space="preserve">Vendor does not grant itself a license to reuse institutional content</w:t>
            </w:r>
          </w:p>
        </w:tc>
        <w:tc>
          <w:tcPr>
            <w:tcW w:w="3600" w:type="dxa"/>
          </w:tcPr>
          <w:p>
            <w:pPr>
              <w:pStyle w:val="TableText"/>
            </w:pPr>
            <w:r>
              <w:t xml:space="preserve">Contract license terms</w:t>
            </w:r>
          </w:p>
        </w:tc>
        <w:tc>
          <w:tcPr>
            <w:tcW w:w="2300" w:type="dxa"/>
          </w:tcPr>
          <w:p>
            <w:pPr>
              <w:pStyle w:val="TableText"/>
            </w:pPr>
            <w:r>
              <w:t xml:space="preserve"> </w:t>
            </w:r>
          </w:p>
        </w:tc>
      </w:tr>
    </w:tbl>
    <w:p/>
    <w:p>
      <w:pPr>
        <w:pStyle w:val="Heading4"/>
      </w:pPr>
      <w:r>
        <w:t xml:space="preserve">Gate 1.2 | Information security</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100"/>
        <w:gridCol w:w="3600"/>
        <w:gridCol w:w="2300"/>
      </w:tblGrid>
      <w:tr>
        <w:trPr>
          <w:tblHeader/>
        </w:trPr>
        <w:tc>
          <w:tcPr>
            <w:tcW w:w="3100" w:type="dxa"/>
            <w:shd w:val="clear" w:color="auto" w:fill="500000"/>
          </w:tcPr>
          <w:p>
            <w:pPr>
              <w:pStyle w:val="TableHeading"/>
            </w:pPr>
            <w:r>
              <w:rPr>
                <w:b/>
                <w:color w:val="FFFFFF"/>
              </w:rPr>
              <w:t xml:space="preserve">Requirement</w:t>
            </w:r>
          </w:p>
        </w:tc>
        <w:tc>
          <w:tcPr>
            <w:tcW w:w="3600" w:type="dxa"/>
            <w:shd w:val="clear" w:color="auto" w:fill="500000"/>
          </w:tcPr>
          <w:p>
            <w:pPr>
              <w:pStyle w:val="TableHeading"/>
            </w:pPr>
            <w:r>
              <w:rPr>
                <w:b/>
                <w:color w:val="FFFFFF"/>
              </w:rPr>
              <w:t xml:space="preserve">Evidence required</w:t>
            </w:r>
          </w:p>
        </w:tc>
        <w:tc>
          <w:tcPr>
            <w:tcW w:w="2300" w:type="dxa"/>
            <w:shd w:val="clear" w:color="auto" w:fill="500000"/>
          </w:tcPr>
          <w:p>
            <w:pPr>
              <w:pStyle w:val="TableHeading"/>
            </w:pPr>
            <w:r>
              <w:rPr>
                <w:b/>
                <w:color w:val="FFFFFF"/>
              </w:rPr>
              <w:t xml:space="preserve">Pass / Fail</w:t>
            </w:r>
          </w:p>
        </w:tc>
      </w:tr>
      <w:tr>
        <w:tc>
          <w:tcPr>
            <w:tcW w:w="3100" w:type="dxa"/>
          </w:tcPr>
          <w:p>
            <w:pPr>
              <w:pStyle w:val="TableText"/>
            </w:pPr>
            <w:r>
              <w:t xml:space="preserve">SOC 2 Type II or ISO 27001 certification current within last 12 months</w:t>
            </w:r>
          </w:p>
        </w:tc>
        <w:tc>
          <w:tcPr>
            <w:tcW w:w="3600" w:type="dxa"/>
          </w:tcPr>
          <w:p>
            <w:pPr>
              <w:pStyle w:val="TableText"/>
            </w:pPr>
            <w:r>
              <w:t xml:space="preserve">Audit report or certificate</w:t>
            </w:r>
          </w:p>
        </w:tc>
        <w:tc>
          <w:tcPr>
            <w:tcW w:w="2300" w:type="dxa"/>
          </w:tcPr>
          <w:p>
            <w:pPr>
              <w:pStyle w:val="TableText"/>
            </w:pPr>
            <w:r>
              <w:t xml:space="preserve"> </w:t>
            </w:r>
          </w:p>
        </w:tc>
      </w:tr>
      <w:tr>
        <w:tc>
          <w:tcPr>
            <w:tcW w:w="3100" w:type="dxa"/>
          </w:tcPr>
          <w:p>
            <w:pPr>
              <w:pStyle w:val="TableText"/>
            </w:pPr>
            <w:r>
              <w:t xml:space="preserve">SSO support via SAML 2.0 or CAS</w:t>
            </w:r>
          </w:p>
        </w:tc>
        <w:tc>
          <w:tcPr>
            <w:tcW w:w="3600" w:type="dxa"/>
          </w:tcPr>
          <w:p>
            <w:pPr>
              <w:pStyle w:val="TableText"/>
            </w:pPr>
            <w:r>
              <w:t xml:space="preserve">Vendor SSO configuration guide</w:t>
            </w:r>
          </w:p>
        </w:tc>
        <w:tc>
          <w:tcPr>
            <w:tcW w:w="2300" w:type="dxa"/>
          </w:tcPr>
          <w:p>
            <w:pPr>
              <w:pStyle w:val="TableText"/>
            </w:pPr>
            <w:r>
              <w:t xml:space="preserve"> </w:t>
            </w:r>
          </w:p>
        </w:tc>
      </w:tr>
      <w:tr>
        <w:tc>
          <w:tcPr>
            <w:tcW w:w="3100" w:type="dxa"/>
          </w:tcPr>
          <w:p>
            <w:pPr>
              <w:pStyle w:val="TableText"/>
            </w:pPr>
            <w:r>
              <w:t xml:space="preserve">Encryption at rest (AES-256 or equivalent)</w:t>
            </w:r>
          </w:p>
        </w:tc>
        <w:tc>
          <w:tcPr>
            <w:tcW w:w="3600" w:type="dxa"/>
          </w:tcPr>
          <w:p>
            <w:pPr>
              <w:pStyle w:val="TableText"/>
            </w:pPr>
            <w:r>
              <w:t xml:space="preserve">Vendor security documentation</w:t>
            </w:r>
          </w:p>
        </w:tc>
        <w:tc>
          <w:tcPr>
            <w:tcW w:w="2300" w:type="dxa"/>
          </w:tcPr>
          <w:p>
            <w:pPr>
              <w:pStyle w:val="TableText"/>
            </w:pPr>
            <w:r>
              <w:t xml:space="preserve"> </w:t>
            </w:r>
          </w:p>
        </w:tc>
      </w:tr>
      <w:tr>
        <w:tc>
          <w:tcPr>
            <w:tcW w:w="3100" w:type="dxa"/>
          </w:tcPr>
          <w:p>
            <w:pPr>
              <w:pStyle w:val="TableText"/>
            </w:pPr>
            <w:r>
              <w:t xml:space="preserve">Encryption in transit (TLS 1.2+)</w:t>
            </w:r>
          </w:p>
        </w:tc>
        <w:tc>
          <w:tcPr>
            <w:tcW w:w="3600" w:type="dxa"/>
          </w:tcPr>
          <w:p>
            <w:pPr>
              <w:pStyle w:val="TableText"/>
            </w:pPr>
            <w:r>
              <w:t xml:space="preserve">Vendor security documentation</w:t>
            </w:r>
          </w:p>
        </w:tc>
        <w:tc>
          <w:tcPr>
            <w:tcW w:w="2300" w:type="dxa"/>
          </w:tcPr>
          <w:p>
            <w:pPr>
              <w:pStyle w:val="TableText"/>
            </w:pPr>
            <w:r>
              <w:t xml:space="preserve"> </w:t>
            </w:r>
          </w:p>
        </w:tc>
      </w:tr>
      <w:tr>
        <w:tc>
          <w:tcPr>
            <w:tcW w:w="3100" w:type="dxa"/>
          </w:tcPr>
          <w:p>
            <w:pPr>
              <w:pStyle w:val="TableText"/>
            </w:pPr>
            <w:r>
              <w:t xml:space="preserve">No shared / public API keys used in multi-user production deployments</w:t>
            </w:r>
          </w:p>
        </w:tc>
        <w:tc>
          <w:tcPr>
            <w:tcW w:w="3600" w:type="dxa"/>
          </w:tcPr>
          <w:p>
            <w:pPr>
              <w:pStyle w:val="TableText"/>
            </w:pPr>
            <w:r>
              <w:t xml:space="preserve">Vendor-issued institutional credentials, per-user auth</w:t>
            </w:r>
          </w:p>
        </w:tc>
        <w:tc>
          <w:tcPr>
            <w:tcW w:w="2300" w:type="dxa"/>
          </w:tcPr>
          <w:p>
            <w:pPr>
              <w:pStyle w:val="TableText"/>
            </w:pPr>
            <w:r>
              <w:t xml:space="preserve"> </w:t>
            </w:r>
          </w:p>
        </w:tc>
      </w:tr>
      <w:tr>
        <w:tc>
          <w:tcPr>
            <w:tcW w:w="3100" w:type="dxa"/>
          </w:tcPr>
          <w:p>
            <w:pPr>
              <w:pStyle w:val="TableText"/>
            </w:pPr>
            <w:r>
              <w:t xml:space="preserve">Documented breach notification protocol (72 hours or less)</w:t>
            </w:r>
          </w:p>
        </w:tc>
        <w:tc>
          <w:tcPr>
            <w:tcW w:w="3600" w:type="dxa"/>
          </w:tcPr>
          <w:p>
            <w:pPr>
              <w:pStyle w:val="TableText"/>
            </w:pPr>
            <w:r>
              <w:t xml:space="preserve">Contract clause or vendor security policy</w:t>
            </w:r>
          </w:p>
        </w:tc>
        <w:tc>
          <w:tcPr>
            <w:tcW w:w="2300" w:type="dxa"/>
          </w:tcPr>
          <w:p>
            <w:pPr>
              <w:pStyle w:val="TableText"/>
            </w:pPr>
            <w:r>
              <w:t xml:space="preserve"> </w:t>
            </w:r>
          </w:p>
        </w:tc>
      </w:tr>
    </w:tbl>
    <w:p/>
    <w:p>
      <w:pPr>
        <w:pStyle w:val="Heading4"/>
      </w:pPr>
      <w:r>
        <w:t xml:space="preserve">Gate 1.3 | Accessibility (WCAG 2.1 AA)</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100"/>
        <w:gridCol w:w="3600"/>
        <w:gridCol w:w="2300"/>
      </w:tblGrid>
      <w:tr>
        <w:trPr>
          <w:tblHeader/>
        </w:trPr>
        <w:tc>
          <w:tcPr>
            <w:tcW w:w="3100" w:type="dxa"/>
            <w:shd w:val="clear" w:color="auto" w:fill="500000"/>
          </w:tcPr>
          <w:p>
            <w:pPr>
              <w:pStyle w:val="TableHeading"/>
            </w:pPr>
            <w:r>
              <w:rPr>
                <w:b/>
                <w:color w:val="FFFFFF"/>
              </w:rPr>
              <w:t xml:space="preserve">Requirement</w:t>
            </w:r>
          </w:p>
        </w:tc>
        <w:tc>
          <w:tcPr>
            <w:tcW w:w="3600" w:type="dxa"/>
            <w:shd w:val="clear" w:color="auto" w:fill="500000"/>
          </w:tcPr>
          <w:p>
            <w:pPr>
              <w:pStyle w:val="TableHeading"/>
            </w:pPr>
            <w:r>
              <w:rPr>
                <w:b/>
                <w:color w:val="FFFFFF"/>
              </w:rPr>
              <w:t xml:space="preserve">Evidence required</w:t>
            </w:r>
          </w:p>
        </w:tc>
        <w:tc>
          <w:tcPr>
            <w:tcW w:w="2300" w:type="dxa"/>
            <w:shd w:val="clear" w:color="auto" w:fill="500000"/>
          </w:tcPr>
          <w:p>
            <w:pPr>
              <w:pStyle w:val="TableHeading"/>
            </w:pPr>
            <w:r>
              <w:rPr>
                <w:b/>
                <w:color w:val="FFFFFF"/>
              </w:rPr>
              <w:t xml:space="preserve">Pass / Fail</w:t>
            </w:r>
          </w:p>
        </w:tc>
      </w:tr>
      <w:tr>
        <w:tc>
          <w:tcPr>
            <w:tcW w:w="3100" w:type="dxa"/>
          </w:tcPr>
          <w:p>
            <w:pPr>
              <w:pStyle w:val="TableText"/>
            </w:pPr>
            <w:r>
              <w:t xml:space="preserve">Current VPAT 2.4 or later documenting WCAG 2.1 AA compliance</w:t>
            </w:r>
          </w:p>
        </w:tc>
        <w:tc>
          <w:tcPr>
            <w:tcW w:w="3600" w:type="dxa"/>
          </w:tcPr>
          <w:p>
            <w:pPr>
              <w:pStyle w:val="TableText"/>
            </w:pPr>
            <w:r>
              <w:t xml:space="preserve">Vendor VPAT on file</w:t>
            </w:r>
          </w:p>
        </w:tc>
        <w:tc>
          <w:tcPr>
            <w:tcW w:w="2300" w:type="dxa"/>
          </w:tcPr>
          <w:p>
            <w:pPr>
              <w:pStyle w:val="TableText"/>
            </w:pPr>
            <w:r>
              <w:t xml:space="preserve"> </w:t>
            </w:r>
          </w:p>
        </w:tc>
      </w:tr>
      <w:tr>
        <w:tc>
          <w:tcPr>
            <w:tcW w:w="3100" w:type="dxa"/>
          </w:tcPr>
          <w:p>
            <w:pPr>
              <w:pStyle w:val="TableText"/>
            </w:pPr>
            <w:r>
              <w:t xml:space="preserve">Keyboard-navigable interface with visible focus states</w:t>
            </w:r>
          </w:p>
        </w:tc>
        <w:tc>
          <w:tcPr>
            <w:tcW w:w="3600" w:type="dxa"/>
          </w:tcPr>
          <w:p>
            <w:pPr>
              <w:pStyle w:val="TableText"/>
            </w:pPr>
            <w:r>
              <w:t xml:space="preserve">Manual test by TLI accessibility reviewer</w:t>
            </w:r>
          </w:p>
        </w:tc>
        <w:tc>
          <w:tcPr>
            <w:tcW w:w="2300" w:type="dxa"/>
          </w:tcPr>
          <w:p>
            <w:pPr>
              <w:pStyle w:val="TableText"/>
            </w:pPr>
            <w:r>
              <w:t xml:space="preserve"> </w:t>
            </w:r>
          </w:p>
        </w:tc>
      </w:tr>
      <w:tr>
        <w:tc>
          <w:tcPr>
            <w:tcW w:w="3100" w:type="dxa"/>
          </w:tcPr>
          <w:p>
            <w:pPr>
              <w:pStyle w:val="TableText"/>
            </w:pPr>
            <w:r>
              <w:t xml:space="preserve">Screen reader compatibility verified with NVDA and VoiceOver</w:t>
            </w:r>
          </w:p>
        </w:tc>
        <w:tc>
          <w:tcPr>
            <w:tcW w:w="3600" w:type="dxa"/>
          </w:tcPr>
          <w:p>
            <w:pPr>
              <w:pStyle w:val="TableText"/>
            </w:pPr>
            <w:r>
              <w:t xml:space="preserve">Manual test results documented</w:t>
            </w:r>
          </w:p>
        </w:tc>
        <w:tc>
          <w:tcPr>
            <w:tcW w:w="2300" w:type="dxa"/>
          </w:tcPr>
          <w:p>
            <w:pPr>
              <w:pStyle w:val="TableText"/>
            </w:pPr>
            <w:r>
              <w:t xml:space="preserve"> </w:t>
            </w:r>
          </w:p>
        </w:tc>
      </w:tr>
      <w:tr>
        <w:tc>
          <w:tcPr>
            <w:tcW w:w="3100" w:type="dxa"/>
          </w:tcPr>
          <w:p>
            <w:pPr>
              <w:pStyle w:val="TableText"/>
            </w:pPr>
            <w:r>
              <w:t xml:space="preserve">Output produced by the tool can be rendered accessibly (alt text, captions, heading structure)</w:t>
            </w:r>
          </w:p>
        </w:tc>
        <w:tc>
          <w:tcPr>
            <w:tcW w:w="3600" w:type="dxa"/>
          </w:tcPr>
          <w:p>
            <w:pPr>
              <w:pStyle w:val="TableText"/>
            </w:pPr>
            <w:r>
              <w:t xml:space="preserve">Sample output audit</w:t>
            </w:r>
          </w:p>
        </w:tc>
        <w:tc>
          <w:tcPr>
            <w:tcW w:w="2300" w:type="dxa"/>
          </w:tcPr>
          <w:p>
            <w:pPr>
              <w:pStyle w:val="TableText"/>
            </w:pPr>
            <w:r>
              <w:t xml:space="preserve"> </w:t>
            </w:r>
          </w:p>
        </w:tc>
      </w:tr>
      <w:tr>
        <w:tc>
          <w:tcPr>
            <w:tcW w:w="3100" w:type="dxa"/>
          </w:tcPr>
          <w:p>
            <w:pPr>
              <w:pStyle w:val="TableText"/>
            </w:pPr>
            <w:r>
              <w:t xml:space="preserve">Color contrast meets 4.5:1 for body text, 3:1 for large text</w:t>
            </w:r>
          </w:p>
        </w:tc>
        <w:tc>
          <w:tcPr>
            <w:tcW w:w="3600" w:type="dxa"/>
          </w:tcPr>
          <w:p>
            <w:pPr>
              <w:pStyle w:val="TableText"/>
            </w:pPr>
            <w:r>
              <w:t xml:space="preserve">Automated contrast check</w:t>
            </w:r>
          </w:p>
        </w:tc>
        <w:tc>
          <w:tcPr>
            <w:tcW w:w="2300" w:type="dxa"/>
          </w:tcPr>
          <w:p>
            <w:pPr>
              <w:pStyle w:val="TableText"/>
            </w:pPr>
            <w:r>
              <w:t xml:space="preserve"> </w:t>
            </w:r>
          </w:p>
        </w:tc>
      </w:tr>
    </w:tbl>
    <w:p/>
    <w:p>
      <w:pPr>
        <w:pStyle w:val="Heading5"/>
      </w:pPr>
      <w:r>
        <w:t xml:space="preserve">Gate decision</w:t>
      </w:r>
    </w:p>
    <w:p>
      <w:r>
        <w:rPr>
          <w:i/>
        </w:rPr>
        <w:t xml:space="preserve">If any gate above is marked Fail, stop here. Document the failure, archive the evaluation, and notify the requesting designer. Do not proceed to Section 2.</w:t>
      </w:r>
    </w:p>
    <w:p/>
    <w:p>
      <w:pPr>
        <w:pStyle w:val="Heading2"/>
      </w:pPr>
      <w:r>
        <w:t xml:space="preserve">Section 2 | Scored rubric (4-level)</w:t>
      </w:r>
    </w:p>
    <w:p>
      <w:r>
        <w:t xml:space="preserve">For tools that clear all hard gates, score each of the five domains below using the performance levels defined in the table. The composite threshold for approval is defined in Section 3.</w:t>
      </w:r>
    </w:p>
    <w:p>
      <w:pPr>
        <w:pStyle w:val="Heading4"/>
      </w:pPr>
      <w:r>
        <w:t xml:space="preserve">Performance levels</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00"/>
        <w:gridCol w:w="1900"/>
        <w:gridCol w:w="6200"/>
      </w:tblGrid>
      <w:tr>
        <w:trPr>
          <w:tblHeader/>
        </w:trPr>
        <w:tc>
          <w:tcPr>
            <w:tcW w:w="900" w:type="dxa"/>
            <w:shd w:val="clear" w:color="auto" w:fill="500000"/>
          </w:tcPr>
          <w:p>
            <w:pPr>
              <w:pStyle w:val="TableHeading"/>
            </w:pPr>
            <w:r>
              <w:rPr>
                <w:b/>
                <w:color w:val="FFFFFF"/>
              </w:rPr>
              <w:t xml:space="preserve">Level</w:t>
            </w:r>
          </w:p>
        </w:tc>
        <w:tc>
          <w:tcPr>
            <w:tcW w:w="1900" w:type="dxa"/>
            <w:shd w:val="clear" w:color="auto" w:fill="500000"/>
          </w:tcPr>
          <w:p>
            <w:pPr>
              <w:pStyle w:val="TableHeading"/>
            </w:pPr>
            <w:r>
              <w:rPr>
                <w:b/>
                <w:color w:val="FFFFFF"/>
              </w:rPr>
              <w:t xml:space="preserve">Label</w:t>
            </w:r>
          </w:p>
        </w:tc>
        <w:tc>
          <w:tcPr>
            <w:tcW w:w="6200" w:type="dxa"/>
            <w:shd w:val="clear" w:color="auto" w:fill="500000"/>
          </w:tcPr>
          <w:p>
            <w:pPr>
              <w:pStyle w:val="TableHeading"/>
            </w:pPr>
            <w:r>
              <w:rPr>
                <w:b/>
                <w:color w:val="FFFFFF"/>
              </w:rPr>
              <w:t xml:space="preserve">Definition</w:t>
            </w:r>
          </w:p>
        </w:tc>
      </w:tr>
      <w:tr>
        <w:tc>
          <w:tcPr>
            <w:tcW w:w="900" w:type="dxa"/>
          </w:tcPr>
          <w:p>
            <w:pPr>
              <w:pStyle w:val="TableText"/>
            </w:pPr>
            <w:r>
              <w:t xml:space="preserve">1</w:t>
            </w:r>
          </w:p>
        </w:tc>
        <w:tc>
          <w:tcPr>
            <w:tcW w:w="1900" w:type="dxa"/>
          </w:tcPr>
          <w:p>
            <w:pPr>
              <w:pStyle w:val="TableText"/>
            </w:pPr>
            <w:r>
              <w:t xml:space="preserve">Does not meet</w:t>
            </w:r>
          </w:p>
        </w:tc>
        <w:tc>
          <w:tcPr>
            <w:tcW w:w="6200" w:type="dxa"/>
          </w:tcPr>
          <w:p>
            <w:pPr>
              <w:pStyle w:val="TableText"/>
            </w:pPr>
            <w:r>
              <w:t xml:space="preserve">The tool fails to address this criterion or addresses it in a way that introduces new risk or burden.</w:t>
            </w:r>
          </w:p>
        </w:tc>
      </w:tr>
      <w:tr>
        <w:tc>
          <w:tcPr>
            <w:tcW w:w="900" w:type="dxa"/>
          </w:tcPr>
          <w:p>
            <w:pPr>
              <w:pStyle w:val="TableText"/>
            </w:pPr>
            <w:r>
              <w:t xml:space="preserve">2</w:t>
            </w:r>
          </w:p>
        </w:tc>
        <w:tc>
          <w:tcPr>
            <w:tcW w:w="1900" w:type="dxa"/>
          </w:tcPr>
          <w:p>
            <w:pPr>
              <w:pStyle w:val="TableText"/>
            </w:pPr>
            <w:r>
              <w:t xml:space="preserve">Partially meets</w:t>
            </w:r>
          </w:p>
        </w:tc>
        <w:tc>
          <w:tcPr>
            <w:tcW w:w="6200" w:type="dxa"/>
          </w:tcPr>
          <w:p>
            <w:pPr>
              <w:pStyle w:val="TableText"/>
            </w:pPr>
            <w:r>
              <w:t xml:space="preserve">The tool addresses the criterion inconsistently, with significant gaps or workarounds required.</w:t>
            </w:r>
          </w:p>
        </w:tc>
      </w:tr>
      <w:tr>
        <w:tc>
          <w:tcPr>
            <w:tcW w:w="900" w:type="dxa"/>
          </w:tcPr>
          <w:p>
            <w:pPr>
              <w:pStyle w:val="TableText"/>
            </w:pPr>
            <w:r>
              <w:t xml:space="preserve">3</w:t>
            </w:r>
          </w:p>
        </w:tc>
        <w:tc>
          <w:tcPr>
            <w:tcW w:w="1900" w:type="dxa"/>
          </w:tcPr>
          <w:p>
            <w:pPr>
              <w:pStyle w:val="TableText"/>
            </w:pPr>
            <w:r>
              <w:t xml:space="preserve">Meets</w:t>
            </w:r>
          </w:p>
        </w:tc>
        <w:tc>
          <w:tcPr>
            <w:tcW w:w="6200" w:type="dxa"/>
          </w:tcPr>
          <w:p>
            <w:pPr>
              <w:pStyle w:val="TableText"/>
            </w:pPr>
            <w:r>
              <w:t xml:space="preserve">The tool addresses the criterion reliably at the level expected of an institutional solution.</w:t>
            </w:r>
          </w:p>
        </w:tc>
      </w:tr>
      <w:tr>
        <w:tc>
          <w:tcPr>
            <w:tcW w:w="900" w:type="dxa"/>
          </w:tcPr>
          <w:p>
            <w:pPr>
              <w:pStyle w:val="TableText"/>
            </w:pPr>
            <w:r>
              <w:t xml:space="preserve">4</w:t>
            </w:r>
          </w:p>
        </w:tc>
        <w:tc>
          <w:tcPr>
            <w:tcW w:w="1900" w:type="dxa"/>
          </w:tcPr>
          <w:p>
            <w:pPr>
              <w:pStyle w:val="TableText"/>
            </w:pPr>
            <w:r>
              <w:t xml:space="preserve">Exceeds</w:t>
            </w:r>
          </w:p>
        </w:tc>
        <w:tc>
          <w:tcPr>
            <w:tcW w:w="6200" w:type="dxa"/>
          </w:tcPr>
          <w:p>
            <w:pPr>
              <w:pStyle w:val="TableText"/>
            </w:pPr>
            <w:r>
              <w:t xml:space="preserve">The tool addresses the criterion in a way that materially strengthens the TLI portfolio beyond current state.</w:t>
            </w:r>
          </w:p>
        </w:tc>
      </w:tr>
    </w:tbl>
    <w:p/>
    <w:p>
      <w:pPr>
        <w:pStyle w:val="Heading4"/>
      </w:pPr>
      <w:r>
        <w:t xml:space="preserve">Rubric 2.1 | Pedagogical fit and learning outcomes</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5000"/>
        <w:gridCol w:w="1400"/>
      </w:tblGrid>
      <w:tr>
        <w:trPr>
          <w:tblHeader/>
        </w:trPr>
        <w:tc>
          <w:tcPr>
            <w:tcW w:w="2600" w:type="dxa"/>
            <w:shd w:val="clear" w:color="auto" w:fill="500000"/>
          </w:tcPr>
          <w:p>
            <w:pPr>
              <w:pStyle w:val="TableHeading"/>
            </w:pPr>
            <w:r>
              <w:rPr>
                <w:b/>
                <w:color w:val="FFFFFF"/>
              </w:rPr>
              <w:t xml:space="preserve">Criterion</w:t>
            </w:r>
          </w:p>
        </w:tc>
        <w:tc>
          <w:tcPr>
            <w:tcW w:w="5000" w:type="dxa"/>
            <w:shd w:val="clear" w:color="auto" w:fill="500000"/>
          </w:tcPr>
          <w:p>
            <w:pPr>
              <w:pStyle w:val="TableHeading"/>
            </w:pPr>
            <w:r>
              <w:rPr>
                <w:b/>
                <w:color w:val="FFFFFF"/>
              </w:rPr>
              <w:t xml:space="preserve">What "Meets" looks like</w:t>
            </w:r>
          </w:p>
        </w:tc>
        <w:tc>
          <w:tcPr>
            <w:tcW w:w="1400" w:type="dxa"/>
            <w:shd w:val="clear" w:color="auto" w:fill="500000"/>
          </w:tcPr>
          <w:p>
            <w:pPr>
              <w:pStyle w:val="TableHeading"/>
            </w:pPr>
            <w:r>
              <w:rPr>
                <w:b/>
                <w:color w:val="FFFFFF"/>
              </w:rPr>
              <w:t xml:space="preserve">Score (1-4)</w:t>
            </w:r>
          </w:p>
        </w:tc>
      </w:tr>
      <w:tr>
        <w:tc>
          <w:tcPr>
            <w:tcW w:w="2600" w:type="dxa"/>
          </w:tcPr>
          <w:p>
            <w:pPr>
              <w:pStyle w:val="TableText"/>
            </w:pPr>
            <w:r>
              <w:t xml:space="preserve">Alignment with course outcomes</w:t>
            </w:r>
          </w:p>
        </w:tc>
        <w:tc>
          <w:tcPr>
            <w:tcW w:w="5000" w:type="dxa"/>
          </w:tcPr>
          <w:p>
            <w:pPr>
              <w:pStyle w:val="TableText"/>
            </w:pPr>
            <w:r>
              <w:t xml:space="preserve">The tool advances a specific, named learning outcome documented by the requesting designer.</w:t>
            </w:r>
          </w:p>
        </w:tc>
        <w:tc>
          <w:tcPr>
            <w:tcW w:w="1400" w:type="dxa"/>
          </w:tcPr>
          <w:p>
            <w:pPr>
              <w:pStyle w:val="TableText"/>
            </w:pPr>
            <w:r>
              <w:t xml:space="preserve"> </w:t>
            </w:r>
          </w:p>
        </w:tc>
      </w:tr>
      <w:tr>
        <w:tc>
          <w:tcPr>
            <w:tcW w:w="2600" w:type="dxa"/>
          </w:tcPr>
          <w:p>
            <w:pPr>
              <w:pStyle w:val="TableText"/>
            </w:pPr>
            <w:r>
              <w:t xml:space="preserve">Evidence base</w:t>
            </w:r>
          </w:p>
        </w:tc>
        <w:tc>
          <w:tcPr>
            <w:tcW w:w="5000" w:type="dxa"/>
          </w:tcPr>
          <w:p>
            <w:pPr>
              <w:pStyle w:val="TableText"/>
            </w:pPr>
            <w:r>
              <w:t xml:space="preserve">Independent peer-reviewed or case-study evidence supports the proposed pedagogical use.</w:t>
            </w:r>
          </w:p>
        </w:tc>
        <w:tc>
          <w:tcPr>
            <w:tcW w:w="1400" w:type="dxa"/>
          </w:tcPr>
          <w:p>
            <w:pPr>
              <w:pStyle w:val="TableText"/>
            </w:pPr>
            <w:r>
              <w:t xml:space="preserve"> </w:t>
            </w:r>
          </w:p>
        </w:tc>
      </w:tr>
      <w:tr>
        <w:tc>
          <w:tcPr>
            <w:tcW w:w="2600" w:type="dxa"/>
          </w:tcPr>
          <w:p>
            <w:pPr>
              <w:pStyle w:val="TableText"/>
            </w:pPr>
            <w:r>
              <w:t xml:space="preserve">No redundancy</w:t>
            </w:r>
          </w:p>
        </w:tc>
        <w:tc>
          <w:tcPr>
            <w:tcW w:w="5000" w:type="dxa"/>
          </w:tcPr>
          <w:p>
            <w:pPr>
              <w:pStyle w:val="TableText"/>
            </w:pPr>
            <w:r>
              <w:t xml:space="preserve">The same outcome cannot be reached with an already-approved tool in the TLI stack.</w:t>
            </w:r>
          </w:p>
        </w:tc>
        <w:tc>
          <w:tcPr>
            <w:tcW w:w="1400" w:type="dxa"/>
          </w:tcPr>
          <w:p>
            <w:pPr>
              <w:pStyle w:val="TableText"/>
            </w:pPr>
            <w:r>
              <w:t xml:space="preserve"> </w:t>
            </w:r>
          </w:p>
        </w:tc>
      </w:tr>
      <w:tr>
        <w:tc>
          <w:tcPr>
            <w:tcW w:w="2600" w:type="dxa"/>
          </w:tcPr>
          <w:p>
            <w:pPr>
              <w:pStyle w:val="TableText"/>
            </w:pPr>
            <w:r>
              <w:t xml:space="preserve">Student cognitive impact</w:t>
            </w:r>
          </w:p>
        </w:tc>
        <w:tc>
          <w:tcPr>
            <w:tcW w:w="5000" w:type="dxa"/>
          </w:tcPr>
          <w:p>
            <w:pPr>
              <w:pStyle w:val="TableText"/>
            </w:pPr>
            <w:r>
              <w:t xml:space="preserve">Use of the tool is demonstrated to support, not substitute for, target student cognition.</w:t>
            </w:r>
          </w:p>
        </w:tc>
        <w:tc>
          <w:tcPr>
            <w:tcW w:w="1400" w:type="dxa"/>
          </w:tcPr>
          <w:p>
            <w:pPr>
              <w:pStyle w:val="TableText"/>
            </w:pPr>
            <w:r>
              <w:t xml:space="preserve"> </w:t>
            </w:r>
          </w:p>
        </w:tc>
      </w:tr>
    </w:tbl>
    <w:p/>
    <w:p>
      <w:pPr>
        <w:pStyle w:val="Heading4"/>
      </w:pPr>
      <w:r>
        <w:t xml:space="preserve">Rubric 2.2 | Canvas integration and infrastructure</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5000"/>
        <w:gridCol w:w="1400"/>
      </w:tblGrid>
      <w:tr>
        <w:trPr>
          <w:tblHeader/>
        </w:trPr>
        <w:tc>
          <w:tcPr>
            <w:tcW w:w="2600" w:type="dxa"/>
            <w:shd w:val="clear" w:color="auto" w:fill="500000"/>
          </w:tcPr>
          <w:p>
            <w:pPr>
              <w:pStyle w:val="TableHeading"/>
            </w:pPr>
            <w:r>
              <w:rPr>
                <w:b/>
                <w:color w:val="FFFFFF"/>
              </w:rPr>
              <w:t xml:space="preserve">Criterion</w:t>
            </w:r>
          </w:p>
        </w:tc>
        <w:tc>
          <w:tcPr>
            <w:tcW w:w="5000" w:type="dxa"/>
            <w:shd w:val="clear" w:color="auto" w:fill="500000"/>
          </w:tcPr>
          <w:p>
            <w:pPr>
              <w:pStyle w:val="TableHeading"/>
            </w:pPr>
            <w:r>
              <w:rPr>
                <w:b/>
                <w:color w:val="FFFFFF"/>
              </w:rPr>
              <w:t xml:space="preserve">What "Meets" looks like</w:t>
            </w:r>
          </w:p>
        </w:tc>
        <w:tc>
          <w:tcPr>
            <w:tcW w:w="1400" w:type="dxa"/>
            <w:shd w:val="clear" w:color="auto" w:fill="500000"/>
          </w:tcPr>
          <w:p>
            <w:pPr>
              <w:pStyle w:val="TableHeading"/>
            </w:pPr>
            <w:r>
              <w:rPr>
                <w:b/>
                <w:color w:val="FFFFFF"/>
              </w:rPr>
              <w:t xml:space="preserve">Score (1-4)</w:t>
            </w:r>
          </w:p>
        </w:tc>
      </w:tr>
      <w:tr>
        <w:tc>
          <w:tcPr>
            <w:tcW w:w="2600" w:type="dxa"/>
          </w:tcPr>
          <w:p>
            <w:pPr>
              <w:pStyle w:val="TableText"/>
            </w:pPr>
            <w:r>
              <w:t xml:space="preserve">LTI 1.3 support</w:t>
            </w:r>
          </w:p>
        </w:tc>
        <w:tc>
          <w:tcPr>
            <w:tcW w:w="5000" w:type="dxa"/>
          </w:tcPr>
          <w:p>
            <w:pPr>
              <w:pStyle w:val="TableText"/>
            </w:pPr>
            <w:r>
              <w:t xml:space="preserve">Vendor provides production-ready LTI 1.3 integration with Canvas.</w:t>
            </w:r>
          </w:p>
        </w:tc>
        <w:tc>
          <w:tcPr>
            <w:tcW w:w="1400" w:type="dxa"/>
          </w:tcPr>
          <w:p>
            <w:pPr>
              <w:pStyle w:val="TableText"/>
            </w:pPr>
            <w:r>
              <w:t xml:space="preserve"> </w:t>
            </w:r>
          </w:p>
        </w:tc>
      </w:tr>
      <w:tr>
        <w:tc>
          <w:tcPr>
            <w:tcW w:w="2600" w:type="dxa"/>
          </w:tcPr>
          <w:p>
            <w:pPr>
              <w:pStyle w:val="TableText"/>
            </w:pPr>
            <w:r>
              <w:t xml:space="preserve">SSO integration</w:t>
            </w:r>
          </w:p>
        </w:tc>
        <w:tc>
          <w:tcPr>
            <w:tcW w:w="5000" w:type="dxa"/>
          </w:tcPr>
          <w:p>
            <w:pPr>
              <w:pStyle w:val="TableText"/>
            </w:pPr>
            <w:r>
              <w:t xml:space="preserve">SSO is configurable via the TAMU identity provider without custom engineering.</w:t>
            </w:r>
          </w:p>
        </w:tc>
        <w:tc>
          <w:tcPr>
            <w:tcW w:w="1400" w:type="dxa"/>
          </w:tcPr>
          <w:p>
            <w:pPr>
              <w:pStyle w:val="TableText"/>
            </w:pPr>
            <w:r>
              <w:t xml:space="preserve"> </w:t>
            </w:r>
          </w:p>
        </w:tc>
      </w:tr>
      <w:tr>
        <w:tc>
          <w:tcPr>
            <w:tcW w:w="2600" w:type="dxa"/>
          </w:tcPr>
          <w:p>
            <w:pPr>
              <w:pStyle w:val="TableText"/>
            </w:pPr>
            <w:r>
              <w:t xml:space="preserve">API stability</w:t>
            </w:r>
          </w:p>
        </w:tc>
        <w:tc>
          <w:tcPr>
            <w:tcW w:w="5000" w:type="dxa"/>
          </w:tcPr>
          <w:p>
            <w:pPr>
              <w:pStyle w:val="TableText"/>
            </w:pPr>
            <w:r>
              <w:t xml:space="preserve">Vendor offers a documented API with a published deprecation policy.</w:t>
            </w:r>
          </w:p>
        </w:tc>
        <w:tc>
          <w:tcPr>
            <w:tcW w:w="1400" w:type="dxa"/>
          </w:tcPr>
          <w:p>
            <w:pPr>
              <w:pStyle w:val="TableText"/>
            </w:pPr>
            <w:r>
              <w:t xml:space="preserve"> </w:t>
            </w:r>
          </w:p>
        </w:tc>
      </w:tr>
      <w:tr>
        <w:tc>
          <w:tcPr>
            <w:tcW w:w="2600" w:type="dxa"/>
          </w:tcPr>
          <w:p>
            <w:pPr>
              <w:pStyle w:val="TableText"/>
            </w:pPr>
            <w:r>
              <w:t xml:space="preserve">Grade passback</w:t>
            </w:r>
          </w:p>
        </w:tc>
        <w:tc>
          <w:tcPr>
            <w:tcW w:w="5000" w:type="dxa"/>
          </w:tcPr>
          <w:p>
            <w:pPr>
              <w:pStyle w:val="TableText"/>
            </w:pPr>
            <w:r>
              <w:t xml:space="preserve">If the tool returns grades, it does so via LTI Advantage grade services, not manual export.</w:t>
            </w:r>
          </w:p>
        </w:tc>
        <w:tc>
          <w:tcPr>
            <w:tcW w:w="1400" w:type="dxa"/>
          </w:tcPr>
          <w:p>
            <w:pPr>
              <w:pStyle w:val="TableText"/>
            </w:pPr>
            <w:r>
              <w:t xml:space="preserve"> </w:t>
            </w:r>
          </w:p>
        </w:tc>
      </w:tr>
    </w:tbl>
    <w:p/>
    <w:p>
      <w:pPr>
        <w:pStyle w:val="Heading4"/>
      </w:pPr>
      <w:r>
        <w:t xml:space="preserve">Rubric 2.3 | Cost, licensing, and total cost of ownership</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5000"/>
        <w:gridCol w:w="1400"/>
      </w:tblGrid>
      <w:tr>
        <w:trPr>
          <w:tblHeader/>
        </w:trPr>
        <w:tc>
          <w:tcPr>
            <w:tcW w:w="2600" w:type="dxa"/>
            <w:shd w:val="clear" w:color="auto" w:fill="500000"/>
          </w:tcPr>
          <w:p>
            <w:pPr>
              <w:pStyle w:val="TableHeading"/>
            </w:pPr>
            <w:r>
              <w:rPr>
                <w:b/>
                <w:color w:val="FFFFFF"/>
              </w:rPr>
              <w:t xml:space="preserve">Criterion</w:t>
            </w:r>
          </w:p>
        </w:tc>
        <w:tc>
          <w:tcPr>
            <w:tcW w:w="5000" w:type="dxa"/>
            <w:shd w:val="clear" w:color="auto" w:fill="500000"/>
          </w:tcPr>
          <w:p>
            <w:pPr>
              <w:pStyle w:val="TableHeading"/>
            </w:pPr>
            <w:r>
              <w:rPr>
                <w:b/>
                <w:color w:val="FFFFFF"/>
              </w:rPr>
              <w:t xml:space="preserve">What "Meets" looks like</w:t>
            </w:r>
          </w:p>
        </w:tc>
        <w:tc>
          <w:tcPr>
            <w:tcW w:w="1400" w:type="dxa"/>
            <w:shd w:val="clear" w:color="auto" w:fill="500000"/>
          </w:tcPr>
          <w:p>
            <w:pPr>
              <w:pStyle w:val="TableHeading"/>
            </w:pPr>
            <w:r>
              <w:rPr>
                <w:b/>
                <w:color w:val="FFFFFF"/>
              </w:rPr>
              <w:t xml:space="preserve">Score (1-4)</w:t>
            </w:r>
          </w:p>
        </w:tc>
      </w:tr>
      <w:tr>
        <w:tc>
          <w:tcPr>
            <w:tcW w:w="2600" w:type="dxa"/>
          </w:tcPr>
          <w:p>
            <w:pPr>
              <w:pStyle w:val="TableText"/>
            </w:pPr>
            <w:r>
              <w:t xml:space="preserve">Licensing model</w:t>
            </w:r>
          </w:p>
        </w:tc>
        <w:tc>
          <w:tcPr>
            <w:tcW w:w="5000" w:type="dxa"/>
          </w:tcPr>
          <w:p>
            <w:pPr>
              <w:pStyle w:val="TableText"/>
            </w:pPr>
            <w:r>
              <w:t xml:space="preserve">Institutional (site) license rather than per-seat, with faculty and staff access included.</w:t>
            </w:r>
          </w:p>
        </w:tc>
        <w:tc>
          <w:tcPr>
            <w:tcW w:w="1400" w:type="dxa"/>
          </w:tcPr>
          <w:p>
            <w:pPr>
              <w:pStyle w:val="TableText"/>
            </w:pPr>
            <w:r>
              <w:t xml:space="preserve"> </w:t>
            </w:r>
          </w:p>
        </w:tc>
      </w:tr>
      <w:tr>
        <w:tc>
          <w:tcPr>
            <w:tcW w:w="2600" w:type="dxa"/>
          </w:tcPr>
          <w:p>
            <w:pPr>
              <w:pStyle w:val="TableText"/>
            </w:pPr>
            <w:r>
              <w:t xml:space="preserve">Budget alignment</w:t>
            </w:r>
          </w:p>
        </w:tc>
        <w:tc>
          <w:tcPr>
            <w:tcW w:w="5000" w:type="dxa"/>
          </w:tcPr>
          <w:p>
            <w:pPr>
              <w:pStyle w:val="TableText"/>
            </w:pPr>
            <w:r>
              <w:t xml:space="preserve">Three-year total cost of ownership fits within the TLI technology budget without displacing existing commitments.</w:t>
            </w:r>
          </w:p>
        </w:tc>
        <w:tc>
          <w:tcPr>
            <w:tcW w:w="1400" w:type="dxa"/>
          </w:tcPr>
          <w:p>
            <w:pPr>
              <w:pStyle w:val="TableText"/>
            </w:pPr>
            <w:r>
              <w:t xml:space="preserve"> </w:t>
            </w:r>
          </w:p>
        </w:tc>
      </w:tr>
      <w:tr>
        <w:tc>
          <w:tcPr>
            <w:tcW w:w="2600" w:type="dxa"/>
          </w:tcPr>
          <w:p>
            <w:pPr>
              <w:pStyle w:val="TableText"/>
            </w:pPr>
            <w:r>
              <w:t xml:space="preserve">Contract flexibility</w:t>
            </w:r>
          </w:p>
        </w:tc>
        <w:tc>
          <w:tcPr>
            <w:tcW w:w="5000" w:type="dxa"/>
          </w:tcPr>
          <w:p>
            <w:pPr>
              <w:pStyle w:val="TableText"/>
            </w:pPr>
            <w:r>
              <w:t xml:space="preserve">Contract permits adding and removing seats mid-term without penalty.</w:t>
            </w:r>
          </w:p>
        </w:tc>
        <w:tc>
          <w:tcPr>
            <w:tcW w:w="1400" w:type="dxa"/>
          </w:tcPr>
          <w:p>
            <w:pPr>
              <w:pStyle w:val="TableText"/>
            </w:pPr>
            <w:r>
              <w:t xml:space="preserve"> </w:t>
            </w:r>
          </w:p>
        </w:tc>
      </w:tr>
      <w:tr>
        <w:tc>
          <w:tcPr>
            <w:tcW w:w="2600" w:type="dxa"/>
          </w:tcPr>
          <w:p>
            <w:pPr>
              <w:pStyle w:val="TableText"/>
            </w:pPr>
            <w:r>
              <w:t xml:space="preserve">Hidden costs</w:t>
            </w:r>
          </w:p>
        </w:tc>
        <w:tc>
          <w:tcPr>
            <w:tcW w:w="5000" w:type="dxa"/>
          </w:tcPr>
          <w:p>
            <w:pPr>
              <w:pStyle w:val="TableText"/>
            </w:pPr>
            <w:r>
              <w:t xml:space="preserve">Training, integration, and support are included; no material uncovered costs emerge during due diligence.</w:t>
            </w:r>
          </w:p>
        </w:tc>
        <w:tc>
          <w:tcPr>
            <w:tcW w:w="1400" w:type="dxa"/>
          </w:tcPr>
          <w:p>
            <w:pPr>
              <w:pStyle w:val="TableText"/>
            </w:pPr>
            <w:r>
              <w:t xml:space="preserve"> </w:t>
            </w:r>
          </w:p>
        </w:tc>
      </w:tr>
    </w:tbl>
    <w:p/>
    <w:p>
      <w:pPr>
        <w:pStyle w:val="Heading4"/>
      </w:pPr>
      <w:r>
        <w:t xml:space="preserve">Rubric 2.4 | Vendor viability and exit plan</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5000"/>
        <w:gridCol w:w="1400"/>
      </w:tblGrid>
      <w:tr>
        <w:trPr>
          <w:tblHeader/>
        </w:trPr>
        <w:tc>
          <w:tcPr>
            <w:tcW w:w="2600" w:type="dxa"/>
            <w:shd w:val="clear" w:color="auto" w:fill="500000"/>
          </w:tcPr>
          <w:p>
            <w:pPr>
              <w:pStyle w:val="TableHeading"/>
            </w:pPr>
            <w:r>
              <w:rPr>
                <w:b/>
                <w:color w:val="FFFFFF"/>
              </w:rPr>
              <w:t xml:space="preserve">Criterion</w:t>
            </w:r>
          </w:p>
        </w:tc>
        <w:tc>
          <w:tcPr>
            <w:tcW w:w="5000" w:type="dxa"/>
            <w:shd w:val="clear" w:color="auto" w:fill="500000"/>
          </w:tcPr>
          <w:p>
            <w:pPr>
              <w:pStyle w:val="TableHeading"/>
            </w:pPr>
            <w:r>
              <w:rPr>
                <w:b/>
                <w:color w:val="FFFFFF"/>
              </w:rPr>
              <w:t xml:space="preserve">What "Meets" looks like</w:t>
            </w:r>
          </w:p>
        </w:tc>
        <w:tc>
          <w:tcPr>
            <w:tcW w:w="1400" w:type="dxa"/>
            <w:shd w:val="clear" w:color="auto" w:fill="500000"/>
          </w:tcPr>
          <w:p>
            <w:pPr>
              <w:pStyle w:val="TableHeading"/>
            </w:pPr>
            <w:r>
              <w:rPr>
                <w:b/>
                <w:color w:val="FFFFFF"/>
              </w:rPr>
              <w:t xml:space="preserve">Score (1-4)</w:t>
            </w:r>
          </w:p>
        </w:tc>
      </w:tr>
      <w:tr>
        <w:tc>
          <w:tcPr>
            <w:tcW w:w="2600" w:type="dxa"/>
          </w:tcPr>
          <w:p>
            <w:pPr>
              <w:pStyle w:val="TableText"/>
            </w:pPr>
            <w:r>
              <w:t xml:space="preserve">Company stability</w:t>
            </w:r>
          </w:p>
        </w:tc>
        <w:tc>
          <w:tcPr>
            <w:tcW w:w="5000" w:type="dxa"/>
          </w:tcPr>
          <w:p>
            <w:pPr>
              <w:pStyle w:val="TableText"/>
            </w:pPr>
            <w:r>
              <w:t xml:space="preserve">Vendor has been operating for at least 3 years with demonstrated customer base and revenue.</w:t>
            </w:r>
          </w:p>
        </w:tc>
        <w:tc>
          <w:tcPr>
            <w:tcW w:w="1400" w:type="dxa"/>
          </w:tcPr>
          <w:p>
            <w:pPr>
              <w:pStyle w:val="TableText"/>
            </w:pPr>
            <w:r>
              <w:t xml:space="preserve"> </w:t>
            </w:r>
          </w:p>
        </w:tc>
      </w:tr>
      <w:tr>
        <w:tc>
          <w:tcPr>
            <w:tcW w:w="2600" w:type="dxa"/>
          </w:tcPr>
          <w:p>
            <w:pPr>
              <w:pStyle w:val="TableText"/>
            </w:pPr>
            <w:r>
              <w:t xml:space="preserve">Product roadmap</w:t>
            </w:r>
          </w:p>
        </w:tc>
        <w:tc>
          <w:tcPr>
            <w:tcW w:w="5000" w:type="dxa"/>
          </w:tcPr>
          <w:p>
            <w:pPr>
              <w:pStyle w:val="TableText"/>
            </w:pPr>
            <w:r>
              <w:t xml:space="preserve">Published roadmap shows continued investment in the product, not just maintenance mode.</w:t>
            </w:r>
          </w:p>
        </w:tc>
        <w:tc>
          <w:tcPr>
            <w:tcW w:w="1400" w:type="dxa"/>
          </w:tcPr>
          <w:p>
            <w:pPr>
              <w:pStyle w:val="TableText"/>
            </w:pPr>
            <w:r>
              <w:t xml:space="preserve"> </w:t>
            </w:r>
          </w:p>
        </w:tc>
      </w:tr>
      <w:tr>
        <w:tc>
          <w:tcPr>
            <w:tcW w:w="2600" w:type="dxa"/>
          </w:tcPr>
          <w:p>
            <w:pPr>
              <w:pStyle w:val="TableText"/>
            </w:pPr>
            <w:r>
              <w:t xml:space="preserve">Data portability</w:t>
            </w:r>
          </w:p>
        </w:tc>
        <w:tc>
          <w:tcPr>
            <w:tcW w:w="5000" w:type="dxa"/>
          </w:tcPr>
          <w:p>
            <w:pPr>
              <w:pStyle w:val="TableText"/>
            </w:pPr>
            <w:r>
              <w:t xml:space="preserve">Institutional data can be exported in an open, standards-based format on demand.</w:t>
            </w:r>
          </w:p>
        </w:tc>
        <w:tc>
          <w:tcPr>
            <w:tcW w:w="1400" w:type="dxa"/>
          </w:tcPr>
          <w:p>
            <w:pPr>
              <w:pStyle w:val="TableText"/>
            </w:pPr>
            <w:r>
              <w:t xml:space="preserve"> </w:t>
            </w:r>
          </w:p>
        </w:tc>
      </w:tr>
      <w:tr>
        <w:tc>
          <w:tcPr>
            <w:tcW w:w="2600" w:type="dxa"/>
          </w:tcPr>
          <w:p>
            <w:pPr>
              <w:pStyle w:val="TableText"/>
            </w:pPr>
            <w:r>
              <w:t xml:space="preserve">Continuity plan</w:t>
            </w:r>
          </w:p>
        </w:tc>
        <w:tc>
          <w:tcPr>
            <w:tcW w:w="5000" w:type="dxa"/>
          </w:tcPr>
          <w:p>
            <w:pPr>
              <w:pStyle w:val="TableText"/>
            </w:pPr>
            <w:r>
              <w:t xml:space="preserve">Documented vendor-continuity protocol addresses what happens to course content if the vendor exits the market.</w:t>
            </w:r>
          </w:p>
        </w:tc>
        <w:tc>
          <w:tcPr>
            <w:tcW w:w="1400" w:type="dxa"/>
          </w:tcPr>
          <w:p>
            <w:pPr>
              <w:pStyle w:val="TableText"/>
            </w:pPr>
            <w:r>
              <w:t xml:space="preserve"> </w:t>
            </w:r>
          </w:p>
        </w:tc>
      </w:tr>
    </w:tbl>
    <w:p/>
    <w:p>
      <w:pPr>
        <w:pStyle w:val="Heading4"/>
      </w:pPr>
      <w:r>
        <w:t xml:space="preserve">Rubric 2.5 | Faculty and student experience</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5000"/>
        <w:gridCol w:w="1400"/>
      </w:tblGrid>
      <w:tr>
        <w:trPr>
          <w:tblHeader/>
        </w:trPr>
        <w:tc>
          <w:tcPr>
            <w:tcW w:w="2600" w:type="dxa"/>
            <w:shd w:val="clear" w:color="auto" w:fill="500000"/>
          </w:tcPr>
          <w:p>
            <w:pPr>
              <w:pStyle w:val="TableHeading"/>
            </w:pPr>
            <w:r>
              <w:rPr>
                <w:b/>
                <w:color w:val="FFFFFF"/>
              </w:rPr>
              <w:t xml:space="preserve">Criterion</w:t>
            </w:r>
          </w:p>
        </w:tc>
        <w:tc>
          <w:tcPr>
            <w:tcW w:w="5000" w:type="dxa"/>
            <w:shd w:val="clear" w:color="auto" w:fill="500000"/>
          </w:tcPr>
          <w:p>
            <w:pPr>
              <w:pStyle w:val="TableHeading"/>
            </w:pPr>
            <w:r>
              <w:rPr>
                <w:b/>
                <w:color w:val="FFFFFF"/>
              </w:rPr>
              <w:t xml:space="preserve">What "Meets" looks like</w:t>
            </w:r>
          </w:p>
        </w:tc>
        <w:tc>
          <w:tcPr>
            <w:tcW w:w="1400" w:type="dxa"/>
            <w:shd w:val="clear" w:color="auto" w:fill="500000"/>
          </w:tcPr>
          <w:p>
            <w:pPr>
              <w:pStyle w:val="TableHeading"/>
            </w:pPr>
            <w:r>
              <w:rPr>
                <w:b/>
                <w:color w:val="FFFFFF"/>
              </w:rPr>
              <w:t xml:space="preserve">Score (1-4)</w:t>
            </w:r>
          </w:p>
        </w:tc>
      </w:tr>
      <w:tr>
        <w:tc>
          <w:tcPr>
            <w:tcW w:w="2600" w:type="dxa"/>
          </w:tcPr>
          <w:p>
            <w:pPr>
              <w:pStyle w:val="TableText"/>
            </w:pPr>
            <w:r>
              <w:t xml:space="preserve">Onboarding</w:t>
            </w:r>
          </w:p>
        </w:tc>
        <w:tc>
          <w:tcPr>
            <w:tcW w:w="5000" w:type="dxa"/>
          </w:tcPr>
          <w:p>
            <w:pPr>
              <w:pStyle w:val="TableText"/>
            </w:pPr>
            <w:r>
              <w:t xml:space="preserve">Faculty and students can reach productive use within 30 minutes of first login with provided materials.</w:t>
            </w:r>
          </w:p>
        </w:tc>
        <w:tc>
          <w:tcPr>
            <w:tcW w:w="1400" w:type="dxa"/>
          </w:tcPr>
          <w:p>
            <w:pPr>
              <w:pStyle w:val="TableText"/>
            </w:pPr>
            <w:r>
              <w:t xml:space="preserve"> </w:t>
            </w:r>
          </w:p>
        </w:tc>
      </w:tr>
      <w:tr>
        <w:tc>
          <w:tcPr>
            <w:tcW w:w="2600" w:type="dxa"/>
          </w:tcPr>
          <w:p>
            <w:pPr>
              <w:pStyle w:val="TableText"/>
            </w:pPr>
            <w:r>
              <w:t xml:space="preserve">Training burden</w:t>
            </w:r>
          </w:p>
        </w:tc>
        <w:tc>
          <w:tcPr>
            <w:tcW w:w="5000" w:type="dxa"/>
          </w:tcPr>
          <w:p>
            <w:pPr>
              <w:pStyle w:val="TableText"/>
            </w:pPr>
            <w:r>
              <w:t xml:space="preserve">Required training is delivered asynchronously and completes in under 2 hours per role.</w:t>
            </w:r>
          </w:p>
        </w:tc>
        <w:tc>
          <w:tcPr>
            <w:tcW w:w="1400" w:type="dxa"/>
          </w:tcPr>
          <w:p>
            <w:pPr>
              <w:pStyle w:val="TableText"/>
            </w:pPr>
            <w:r>
              <w:t xml:space="preserve"> </w:t>
            </w:r>
          </w:p>
        </w:tc>
      </w:tr>
      <w:tr>
        <w:tc>
          <w:tcPr>
            <w:tcW w:w="2600" w:type="dxa"/>
          </w:tcPr>
          <w:p>
            <w:pPr>
              <w:pStyle w:val="TableText"/>
            </w:pPr>
            <w:r>
              <w:t xml:space="preserve">Support channel</w:t>
            </w:r>
          </w:p>
        </w:tc>
        <w:tc>
          <w:tcPr>
            <w:tcW w:w="5000" w:type="dxa"/>
          </w:tcPr>
          <w:p>
            <w:pPr>
              <w:pStyle w:val="TableText"/>
            </w:pPr>
            <w:r>
              <w:t xml:space="preserve">Vendor provides a named account representative plus a documented support SLA.</w:t>
            </w:r>
          </w:p>
        </w:tc>
        <w:tc>
          <w:tcPr>
            <w:tcW w:w="1400" w:type="dxa"/>
          </w:tcPr>
          <w:p>
            <w:pPr>
              <w:pStyle w:val="TableText"/>
            </w:pPr>
            <w:r>
              <w:t xml:space="preserve"> </w:t>
            </w:r>
          </w:p>
        </w:tc>
      </w:tr>
      <w:tr>
        <w:tc>
          <w:tcPr>
            <w:tcW w:w="2600" w:type="dxa"/>
          </w:tcPr>
          <w:p>
            <w:pPr>
              <w:pStyle w:val="TableText"/>
            </w:pPr>
            <w:r>
              <w:t xml:space="preserve">Interface quality</w:t>
            </w:r>
          </w:p>
        </w:tc>
        <w:tc>
          <w:tcPr>
            <w:tcW w:w="5000" w:type="dxa"/>
          </w:tcPr>
          <w:p>
            <w:pPr>
              <w:pStyle w:val="TableText"/>
            </w:pPr>
            <w:r>
              <w:t xml:space="preserve">Interface is consistent with or better than comparable tools already in the TLI stack.</w:t>
            </w:r>
          </w:p>
        </w:tc>
        <w:tc>
          <w:tcPr>
            <w:tcW w:w="1400" w:type="dxa"/>
          </w:tcPr>
          <w:p>
            <w:pPr>
              <w:pStyle w:val="TableText"/>
            </w:pPr>
            <w:r>
              <w:t xml:space="preserve"> </w:t>
            </w:r>
          </w:p>
        </w:tc>
      </w:tr>
    </w:tbl>
    <w:p/>
    <w:p>
      <w:pPr>
        <w:pStyle w:val="Heading2"/>
      </w:pPr>
      <w:r>
        <w:t xml:space="preserve">Section 3 | Decision matrix</w:t>
      </w:r>
    </w:p>
    <w:p>
      <w:r>
        <w:t xml:space="preserve">Composite scoring: compute the average score across all five rubric domains (use the average of criterion scores within each domain, then average those five domain averages).</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400"/>
      </w:tblGrid>
      <w:tr>
        <w:trPr>
          <w:tblHeader/>
        </w:trPr>
        <w:tc>
          <w:tcPr>
            <w:tcW w:w="2600" w:type="dxa"/>
            <w:shd w:val="clear" w:color="auto" w:fill="500000"/>
          </w:tcPr>
          <w:p>
            <w:pPr>
              <w:pStyle w:val="TableHeading"/>
            </w:pPr>
            <w:r>
              <w:rPr>
                <w:b/>
                <w:color w:val="FFFFFF"/>
              </w:rPr>
              <w:t xml:space="preserve">Composite score</w:t>
            </w:r>
          </w:p>
        </w:tc>
        <w:tc>
          <w:tcPr>
            <w:tcW w:w="6400" w:type="dxa"/>
            <w:shd w:val="clear" w:color="auto" w:fill="500000"/>
          </w:tcPr>
          <w:p>
            <w:pPr>
              <w:pStyle w:val="TableHeading"/>
            </w:pPr>
            <w:r>
              <w:rPr>
                <w:b/>
                <w:color w:val="FFFFFF"/>
              </w:rPr>
              <w:t xml:space="preserve">Recommended action</w:t>
            </w:r>
          </w:p>
        </w:tc>
      </w:tr>
      <w:tr>
        <w:tc>
          <w:tcPr>
            <w:tcW w:w="2600" w:type="dxa"/>
          </w:tcPr>
          <w:p>
            <w:pPr>
              <w:pStyle w:val="TableText"/>
            </w:pPr>
            <w:r>
              <w:t xml:space="preserve">Any hard gate failure in Section 1</w:t>
            </w:r>
          </w:p>
        </w:tc>
        <w:tc>
          <w:tcPr>
            <w:tcW w:w="6400" w:type="dxa"/>
          </w:tcPr>
          <w:p>
            <w:pPr>
              <w:pStyle w:val="TableText"/>
            </w:pPr>
            <w:r>
              <w:t xml:space="preserve">Reject. Archive with documented failure reason. Do not proceed.</w:t>
            </w:r>
          </w:p>
        </w:tc>
      </w:tr>
      <w:tr>
        <w:tc>
          <w:tcPr>
            <w:tcW w:w="2600" w:type="dxa"/>
          </w:tcPr>
          <w:p>
            <w:pPr>
              <w:pStyle w:val="TableText"/>
            </w:pPr>
            <w:r>
              <w:t xml:space="preserve">Composite 3.5-4.0, all gates passed</w:t>
            </w:r>
          </w:p>
        </w:tc>
        <w:tc>
          <w:tcPr>
            <w:tcW w:w="6400" w:type="dxa"/>
          </w:tcPr>
          <w:p>
            <w:pPr>
              <w:pStyle w:val="TableText"/>
            </w:pPr>
            <w:r>
              <w:t xml:space="preserve">Recommend Approved — Institutional. Escalate to Executive Director with committee endorsement.</w:t>
            </w:r>
          </w:p>
        </w:tc>
      </w:tr>
      <w:tr>
        <w:tc>
          <w:tcPr>
            <w:tcW w:w="2600" w:type="dxa"/>
          </w:tcPr>
          <w:p>
            <w:pPr>
              <w:pStyle w:val="TableText"/>
            </w:pPr>
            <w:r>
              <w:t xml:space="preserve">Composite 3.0-3.4, all gates passed</w:t>
            </w:r>
          </w:p>
        </w:tc>
        <w:tc>
          <w:tcPr>
            <w:tcW w:w="6400" w:type="dxa"/>
          </w:tcPr>
          <w:p>
            <w:pPr>
              <w:pStyle w:val="TableText"/>
            </w:pPr>
            <w:r>
              <w:t xml:space="preserve">Recommend Approved — Pilot, scoped to a single course or module for one academic term with documented evaluation criteria.</w:t>
            </w:r>
          </w:p>
        </w:tc>
      </w:tr>
      <w:tr>
        <w:tc>
          <w:tcPr>
            <w:tcW w:w="2600" w:type="dxa"/>
          </w:tcPr>
          <w:p>
            <w:pPr>
              <w:pStyle w:val="TableText"/>
            </w:pPr>
            <w:r>
              <w:t xml:space="preserve">Composite 2.5-2.9, all gates passed</w:t>
            </w:r>
          </w:p>
        </w:tc>
        <w:tc>
          <w:tcPr>
            <w:tcW w:w="6400" w:type="dxa"/>
          </w:tcPr>
          <w:p>
            <w:pPr>
              <w:pStyle w:val="TableText"/>
            </w:pPr>
            <w:r>
              <w:t xml:space="preserve">Recommend Hold. Tool requires vendor remediation on specific criteria before re-evaluation.</w:t>
            </w:r>
          </w:p>
        </w:tc>
      </w:tr>
      <w:tr>
        <w:tc>
          <w:tcPr>
            <w:tcW w:w="2600" w:type="dxa"/>
          </w:tcPr>
          <w:p>
            <w:pPr>
              <w:pStyle w:val="TableText"/>
            </w:pPr>
            <w:r>
              <w:t xml:space="preserve">Composite below 2.5, all gates passed</w:t>
            </w:r>
          </w:p>
        </w:tc>
        <w:tc>
          <w:tcPr>
            <w:tcW w:w="6400" w:type="dxa"/>
          </w:tcPr>
          <w:p>
            <w:pPr>
              <w:pStyle w:val="TableText"/>
            </w:pPr>
            <w:r>
              <w:t xml:space="preserve">Reject. Tool does not meet institutional standards even though it clears baseline compliance.</w:t>
            </w:r>
          </w:p>
        </w:tc>
      </w:tr>
    </w:tbl>
    <w:p/>
    <w:p>
      <w:pPr>
        <w:pStyle w:val="Heading2"/>
      </w:pPr>
      <w:r>
        <w:t xml:space="preserve">Section 4 | Sign-off</w:t>
      </w:r>
    </w:p>
    <w:p>
      <w:pPr>
        <w:pStyle w:val="Heading4"/>
      </w:pPr>
      <w:r>
        <w:t xml:space="preserve">Designer pre-screen</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6120"/>
      </w:tblGrid>
      <w:tr>
        <w:trPr>
          <w:tblHeader/>
        </w:trPr>
        <w:tc>
          <w:tcPr>
            <w:tcW w:w="2880" w:type="dxa"/>
            <w:shd w:val="clear" w:color="auto" w:fill="500000"/>
          </w:tcPr>
          <w:p>
            <w:pPr>
              <w:pStyle w:val="TableHeading"/>
            </w:pPr>
            <w:r>
              <w:rPr>
                <w:b/>
                <w:color w:val="FFFFFF"/>
              </w:rPr>
              <w:t xml:space="preserve">Field</w:t>
            </w:r>
          </w:p>
        </w:tc>
        <w:tc>
          <w:tcPr>
            <w:tcW w:w="6120" w:type="dxa"/>
            <w:shd w:val="clear" w:color="auto" w:fill="500000"/>
          </w:tcPr>
          <w:p>
            <w:pPr>
              <w:pStyle w:val="TableHeading"/>
            </w:pPr>
            <w:r>
              <w:rPr>
                <w:b/>
                <w:color w:val="FFFFFF"/>
              </w:rPr>
              <w:t xml:space="preserve">Entry</w:t>
            </w:r>
          </w:p>
        </w:tc>
      </w:tr>
      <w:tr>
        <w:tc>
          <w:tcPr>
            <w:tcW w:w="2880" w:type="dxa"/>
          </w:tcPr>
          <w:p>
            <w:pPr>
              <w:pStyle w:val="TableText"/>
            </w:pPr>
            <w:r>
              <w:t xml:space="preserve">Learning designer name</w:t>
            </w:r>
          </w:p>
        </w:tc>
        <w:tc>
          <w:tcPr>
            <w:tcW w:w="6120" w:type="dxa"/>
          </w:tcPr>
          <w:p>
            <w:pPr>
              <w:pStyle w:val="TableText"/>
            </w:pPr>
            <w:r>
              <w:t xml:space="preserve"> </w:t>
            </w:r>
          </w:p>
        </w:tc>
      </w:tr>
      <w:tr>
        <w:tc>
          <w:tcPr>
            <w:tcW w:w="2880" w:type="dxa"/>
          </w:tcPr>
          <w:p>
            <w:pPr>
              <w:pStyle w:val="TableText"/>
            </w:pPr>
            <w:r>
              <w:t xml:space="preserve">Signature / date</w:t>
            </w:r>
          </w:p>
        </w:tc>
        <w:tc>
          <w:tcPr>
            <w:tcW w:w="6120" w:type="dxa"/>
          </w:tcPr>
          <w:p>
            <w:pPr>
              <w:pStyle w:val="TableText"/>
            </w:pPr>
            <w:r>
              <w:t xml:space="preserve"> </w:t>
            </w:r>
          </w:p>
        </w:tc>
      </w:tr>
      <w:tr>
        <w:tc>
          <w:tcPr>
            <w:tcW w:w="2880" w:type="dxa"/>
          </w:tcPr>
          <w:p>
            <w:pPr>
              <w:pStyle w:val="TableText"/>
            </w:pPr>
            <w:r>
              <w:t xml:space="preserve">All hard gates passed?</w:t>
            </w:r>
          </w:p>
        </w:tc>
        <w:tc>
          <w:tcPr>
            <w:tcW w:w="6120" w:type="dxa"/>
          </w:tcPr>
          <w:p>
            <w:pPr>
              <w:pStyle w:val="TableText"/>
            </w:pPr>
            <w:r>
              <w:t xml:space="preserve">Yes / No</w:t>
            </w:r>
          </w:p>
        </w:tc>
      </w:tr>
      <w:tr>
        <w:tc>
          <w:tcPr>
            <w:tcW w:w="2880" w:type="dxa"/>
          </w:tcPr>
          <w:p>
            <w:pPr>
              <w:pStyle w:val="TableText"/>
            </w:pPr>
            <w:r>
              <w:t xml:space="preserve">Designer recommendation</w:t>
            </w:r>
          </w:p>
        </w:tc>
        <w:tc>
          <w:tcPr>
            <w:tcW w:w="6120" w:type="dxa"/>
          </w:tcPr>
          <w:p>
            <w:pPr>
              <w:pStyle w:val="TableText"/>
            </w:pPr>
            <w:r>
              <w:t xml:space="preserve">Proceed / Reject</w:t>
            </w:r>
          </w:p>
        </w:tc>
      </w:tr>
      <w:tr>
        <w:tc>
          <w:tcPr>
            <w:tcW w:w="2880" w:type="dxa"/>
          </w:tcPr>
          <w:p>
            <w:pPr>
              <w:pStyle w:val="TableText"/>
            </w:pPr>
            <w:r>
              <w:t xml:space="preserve">Notes</w:t>
            </w:r>
          </w:p>
        </w:tc>
        <w:tc>
          <w:tcPr>
            <w:tcW w:w="6120" w:type="dxa"/>
          </w:tcPr>
          <w:p>
            <w:pPr>
              <w:pStyle w:val="TableText"/>
            </w:pPr>
            <w:r>
              <w:t xml:space="preserve"> </w:t>
            </w:r>
          </w:p>
        </w:tc>
      </w:tr>
    </w:tbl>
    <w:p/>
    <w:p>
      <w:pPr>
        <w:pStyle w:val="Heading4"/>
      </w:pPr>
      <w:r>
        <w:t xml:space="preserve">AI Committee review</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6120"/>
      </w:tblGrid>
      <w:tr>
        <w:trPr>
          <w:tblHeader/>
        </w:trPr>
        <w:tc>
          <w:tcPr>
            <w:tcW w:w="2880" w:type="dxa"/>
            <w:shd w:val="clear" w:color="auto" w:fill="500000"/>
          </w:tcPr>
          <w:p>
            <w:pPr>
              <w:pStyle w:val="TableHeading"/>
            </w:pPr>
            <w:r>
              <w:rPr>
                <w:b/>
                <w:color w:val="FFFFFF"/>
              </w:rPr>
              <w:t xml:space="preserve">Field</w:t>
            </w:r>
          </w:p>
        </w:tc>
        <w:tc>
          <w:tcPr>
            <w:tcW w:w="6120" w:type="dxa"/>
            <w:shd w:val="clear" w:color="auto" w:fill="500000"/>
          </w:tcPr>
          <w:p>
            <w:pPr>
              <w:pStyle w:val="TableHeading"/>
            </w:pPr>
            <w:r>
              <w:rPr>
                <w:b/>
                <w:color w:val="FFFFFF"/>
              </w:rPr>
              <w:t xml:space="preserve">Entry</w:t>
            </w:r>
          </w:p>
        </w:tc>
      </w:tr>
      <w:tr>
        <w:tc>
          <w:tcPr>
            <w:tcW w:w="2880" w:type="dxa"/>
          </w:tcPr>
          <w:p>
            <w:pPr>
              <w:pStyle w:val="TableText"/>
            </w:pPr>
            <w:r>
              <w:t xml:space="preserve">Committee members present</w:t>
            </w:r>
          </w:p>
        </w:tc>
        <w:tc>
          <w:tcPr>
            <w:tcW w:w="6120" w:type="dxa"/>
          </w:tcPr>
          <w:p>
            <w:pPr>
              <w:pStyle w:val="TableText"/>
            </w:pPr>
            <w:r>
              <w:t xml:space="preserve"> </w:t>
            </w:r>
          </w:p>
        </w:tc>
      </w:tr>
      <w:tr>
        <w:tc>
          <w:tcPr>
            <w:tcW w:w="2880" w:type="dxa"/>
          </w:tcPr>
          <w:p>
            <w:pPr>
              <w:pStyle w:val="TableText"/>
            </w:pPr>
            <w:r>
              <w:t xml:space="preserve">Review date</w:t>
            </w:r>
          </w:p>
        </w:tc>
        <w:tc>
          <w:tcPr>
            <w:tcW w:w="6120" w:type="dxa"/>
          </w:tcPr>
          <w:p>
            <w:pPr>
              <w:pStyle w:val="TableText"/>
            </w:pPr>
            <w:r>
              <w:t xml:space="preserve"> </w:t>
            </w:r>
          </w:p>
        </w:tc>
      </w:tr>
      <w:tr>
        <w:tc>
          <w:tcPr>
            <w:tcW w:w="2880" w:type="dxa"/>
          </w:tcPr>
          <w:p>
            <w:pPr>
              <w:pStyle w:val="TableText"/>
            </w:pPr>
            <w:r>
              <w:t xml:space="preserve">Committee recommendation</w:t>
            </w:r>
          </w:p>
        </w:tc>
        <w:tc>
          <w:tcPr>
            <w:tcW w:w="6120" w:type="dxa"/>
          </w:tcPr>
          <w:p>
            <w:pPr>
              <w:pStyle w:val="TableText"/>
            </w:pPr>
            <w:r>
              <w:t xml:space="preserve">Approved — Institutional / Approved — Pilot / Hold / Reject</w:t>
            </w:r>
          </w:p>
        </w:tc>
      </w:tr>
      <w:tr>
        <w:tc>
          <w:tcPr>
            <w:tcW w:w="2880" w:type="dxa"/>
          </w:tcPr>
          <w:p>
            <w:pPr>
              <w:pStyle w:val="TableText"/>
            </w:pPr>
            <w:r>
              <w:t xml:space="preserve">Conditions (if any)</w:t>
            </w:r>
          </w:p>
        </w:tc>
        <w:tc>
          <w:tcPr>
            <w:tcW w:w="6120" w:type="dxa"/>
          </w:tcPr>
          <w:p>
            <w:pPr>
              <w:pStyle w:val="TableText"/>
            </w:pPr>
            <w:r>
              <w:t xml:space="preserve"> </w:t>
            </w:r>
          </w:p>
        </w:tc>
      </w:tr>
      <w:tr>
        <w:tc>
          <w:tcPr>
            <w:tcW w:w="2880" w:type="dxa"/>
          </w:tcPr>
          <w:p>
            <w:pPr>
              <w:pStyle w:val="TableText"/>
            </w:pPr>
            <w:r>
              <w:t xml:space="preserve">Committee notes</w:t>
            </w:r>
          </w:p>
        </w:tc>
        <w:tc>
          <w:tcPr>
            <w:tcW w:w="6120" w:type="dxa"/>
          </w:tcPr>
          <w:p>
            <w:pPr>
              <w:pStyle w:val="TableText"/>
            </w:pPr>
            <w:r>
              <w:t xml:space="preserve"> </w:t>
            </w:r>
          </w:p>
        </w:tc>
      </w:tr>
    </w:tbl>
    <w:p/>
    <w:p>
      <w:pPr>
        <w:pStyle w:val="Heading4"/>
      </w:pPr>
      <w:r>
        <w:t xml:space="preserve">Executive Director approval</w:t>
      </w:r>
    </w:p>
    <w:tbl>
      <w:tblPr>
        <w:tblStyle w:val="TableGrid"/>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6120"/>
      </w:tblGrid>
      <w:tr>
        <w:trPr>
          <w:tblHeader/>
        </w:trPr>
        <w:tc>
          <w:tcPr>
            <w:tcW w:w="2880" w:type="dxa"/>
            <w:shd w:val="clear" w:color="auto" w:fill="500000"/>
          </w:tcPr>
          <w:p>
            <w:pPr>
              <w:pStyle w:val="TableHeading"/>
            </w:pPr>
            <w:r>
              <w:rPr>
                <w:b/>
                <w:color w:val="FFFFFF"/>
              </w:rPr>
              <w:t xml:space="preserve">Field</w:t>
            </w:r>
          </w:p>
        </w:tc>
        <w:tc>
          <w:tcPr>
            <w:tcW w:w="6120" w:type="dxa"/>
            <w:shd w:val="clear" w:color="auto" w:fill="500000"/>
          </w:tcPr>
          <w:p>
            <w:pPr>
              <w:pStyle w:val="TableHeading"/>
            </w:pPr>
            <w:r>
              <w:rPr>
                <w:b/>
                <w:color w:val="FFFFFF"/>
              </w:rPr>
              <w:t xml:space="preserve">Entry</w:t>
            </w:r>
          </w:p>
        </w:tc>
      </w:tr>
      <w:tr>
        <w:tc>
          <w:tcPr>
            <w:tcW w:w="2880" w:type="dxa"/>
          </w:tcPr>
          <w:p>
            <w:pPr>
              <w:pStyle w:val="TableText"/>
            </w:pPr>
            <w:r>
              <w:t xml:space="preserve">Executive Director name</w:t>
            </w:r>
          </w:p>
        </w:tc>
        <w:tc>
          <w:tcPr>
            <w:tcW w:w="6120" w:type="dxa"/>
          </w:tcPr>
          <w:p>
            <w:pPr>
              <w:pStyle w:val="TableText"/>
            </w:pPr>
            <w:r>
              <w:t xml:space="preserve"> </w:t>
            </w:r>
          </w:p>
        </w:tc>
      </w:tr>
      <w:tr>
        <w:tc>
          <w:tcPr>
            <w:tcW w:w="2880" w:type="dxa"/>
          </w:tcPr>
          <w:p>
            <w:pPr>
              <w:pStyle w:val="TableText"/>
            </w:pPr>
            <w:r>
              <w:t xml:space="preserve">Signature / date</w:t>
            </w:r>
          </w:p>
        </w:tc>
        <w:tc>
          <w:tcPr>
            <w:tcW w:w="6120" w:type="dxa"/>
          </w:tcPr>
          <w:p>
            <w:pPr>
              <w:pStyle w:val="TableText"/>
            </w:pPr>
            <w:r>
              <w:t xml:space="preserve"> </w:t>
            </w:r>
          </w:p>
        </w:tc>
      </w:tr>
      <w:tr>
        <w:tc>
          <w:tcPr>
            <w:tcW w:w="2880" w:type="dxa"/>
          </w:tcPr>
          <w:p>
            <w:pPr>
              <w:pStyle w:val="TableText"/>
            </w:pPr>
            <w:r>
              <w:t xml:space="preserve">Final decision</w:t>
            </w:r>
          </w:p>
        </w:tc>
        <w:tc>
          <w:tcPr>
            <w:tcW w:w="6120" w:type="dxa"/>
          </w:tcPr>
          <w:p>
            <w:pPr>
              <w:pStyle w:val="TableText"/>
            </w:pPr>
            <w:r>
              <w:t xml:space="preserve">Approved — Institutional / Approved — Pilot / Hold / Rejected</w:t>
            </w:r>
          </w:p>
        </w:tc>
      </w:tr>
      <w:tr>
        <w:tc>
          <w:tcPr>
            <w:tcW w:w="2880" w:type="dxa"/>
          </w:tcPr>
          <w:p>
            <w:pPr>
              <w:pStyle w:val="TableText"/>
            </w:pPr>
            <w:r>
              <w:t xml:space="preserve">Conditions / scope limits (if any)</w:t>
            </w:r>
          </w:p>
        </w:tc>
        <w:tc>
          <w:tcPr>
            <w:tcW w:w="6120" w:type="dxa"/>
          </w:tcPr>
          <w:p>
            <w:pPr>
              <w:pStyle w:val="TableText"/>
            </w:pPr>
            <w:r>
              <w:t xml:space="preserve"> </w:t>
            </w:r>
          </w:p>
        </w:tc>
      </w:tr>
      <w:tr>
        <w:tc>
          <w:tcPr>
            <w:tcW w:w="2880" w:type="dxa"/>
          </w:tcPr>
          <w:p>
            <w:pPr>
              <w:pStyle w:val="TableText"/>
            </w:pPr>
            <w:r>
              <w:t xml:space="preserve">Registry entry ID</w:t>
            </w:r>
          </w:p>
        </w:tc>
        <w:tc>
          <w:tcPr>
            <w:tcW w:w="6120" w:type="dxa"/>
          </w:tcPr>
          <w:p>
            <w:pPr>
              <w:pStyle w:val="TableText"/>
            </w:pPr>
            <w:r>
              <w:t xml:space="preserve"> </w:t>
            </w:r>
          </w:p>
        </w:tc>
      </w:tr>
    </w:tbl>
    <w:p/>
    <w:p>
      <w:pPr>
        <w:pStyle w:val="Heading2"/>
      </w:pPr>
      <w:r>
        <w:t xml:space="preserve">Checklist information</w:t>
      </w:r>
    </w:p>
    <w:p>
      <w:r>
        <w:t xml:space="preserve">Version: 1.0 — Released April 2026</w:t>
      </w:r>
    </w:p>
    <w:p>
      <w:r>
        <w:t xml:space="preserve">Maintained by: Teaching &amp; Learning Innovation, Mays Business School</w:t>
      </w:r>
    </w:p>
    <w:p>
      <w:r>
        <w:t xml:space="preserve">Questions: jeffrey.jones@tamu.edu</w:t>
      </w:r>
    </w:p>
    <w:sectPr w:rsidR="00192A3A" w:rsidRPr="00BD1807" w:rsidSect="00BE1D7A">
      <w:headerReference w:type="even" r:id="rId12"/>
      <w:headerReference w:type="default" r:id="rId13"/>
      <w:footerReference w:type="even" r:id="rId14"/>
      <w:footerReference w:type="default" r:id="rId15"/>
      <w:headerReference w:type="first" r:id="rId16"/>
      <w:footerReference w:type="first" r:id="rId17"/>
      <w:pgSz w:w="12240" w:h="15840" w:code="1"/>
      <w:pgMar w:top="1730" w:right="1080" w:bottom="720" w:left="1080" w:header="0" w:footer="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B65E" w14:textId="77777777" w:rsidR="007D74CA" w:rsidRDefault="007D74CA" w:rsidP="00627168">
      <w:r>
        <w:separator/>
      </w:r>
    </w:p>
    <w:p w14:paraId="07ABE6A7" w14:textId="77777777" w:rsidR="007D74CA" w:rsidRDefault="007D74CA" w:rsidP="00627168"/>
    <w:p w14:paraId="68BC587A" w14:textId="77777777" w:rsidR="007D74CA" w:rsidRDefault="007D74CA" w:rsidP="00627168"/>
    <w:p w14:paraId="1C9B28EC" w14:textId="77777777" w:rsidR="007D74CA" w:rsidRDefault="007D74CA" w:rsidP="00627168"/>
    <w:p w14:paraId="077DAF18" w14:textId="77777777" w:rsidR="007D74CA" w:rsidRDefault="007D74CA" w:rsidP="00627168"/>
    <w:p w14:paraId="7BB2D886" w14:textId="77777777" w:rsidR="007D74CA" w:rsidRDefault="007D74CA" w:rsidP="00627168"/>
    <w:p w14:paraId="17297E59" w14:textId="77777777" w:rsidR="007D74CA" w:rsidRDefault="007D74CA" w:rsidP="00627168"/>
    <w:p w14:paraId="2DE0E4F0" w14:textId="77777777" w:rsidR="007D74CA" w:rsidRDefault="007D74CA"/>
  </w:endnote>
  <w:endnote w:type="continuationSeparator" w:id="0">
    <w:p w14:paraId="64C52E91" w14:textId="77777777" w:rsidR="007D74CA" w:rsidRDefault="007D74CA" w:rsidP="00627168">
      <w:r>
        <w:continuationSeparator/>
      </w:r>
    </w:p>
    <w:p w14:paraId="7B985BD2" w14:textId="77777777" w:rsidR="007D74CA" w:rsidRDefault="007D74CA" w:rsidP="00627168"/>
    <w:p w14:paraId="1F077DC1" w14:textId="77777777" w:rsidR="007D74CA" w:rsidRDefault="007D74CA" w:rsidP="00627168"/>
    <w:p w14:paraId="7D700F54" w14:textId="77777777" w:rsidR="007D74CA" w:rsidRDefault="007D74CA" w:rsidP="00627168"/>
    <w:p w14:paraId="4F090EE3" w14:textId="77777777" w:rsidR="007D74CA" w:rsidRDefault="007D74CA" w:rsidP="00627168"/>
    <w:p w14:paraId="298D0098" w14:textId="77777777" w:rsidR="007D74CA" w:rsidRDefault="007D74CA" w:rsidP="00627168"/>
    <w:p w14:paraId="215C90CD" w14:textId="77777777" w:rsidR="007D74CA" w:rsidRDefault="007D74CA" w:rsidP="00627168"/>
    <w:p w14:paraId="772BCA2F" w14:textId="77777777" w:rsidR="007D74CA" w:rsidRDefault="007D74CA"/>
  </w:endnote>
  <w:endnote w:type="continuationNotice" w:id="1">
    <w:p w14:paraId="027D1CE6" w14:textId="77777777" w:rsidR="007D74CA" w:rsidRDefault="007D74CA">
      <w:pPr>
        <w:spacing w:before="0" w:after="0" w:line="240" w:lineRule="auto"/>
      </w:pPr>
    </w:p>
    <w:p w14:paraId="14CA45E0" w14:textId="77777777" w:rsidR="007D74CA" w:rsidRDefault="007D7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Open Sans Extra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E982" w14:textId="77777777" w:rsidR="00675311" w:rsidRDefault="00675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A74" w14:textId="77777777" w:rsidR="00ED1CA5" w:rsidRPr="0046269E" w:rsidRDefault="00810DF6" w:rsidP="00627168">
    <w:pPr>
      <w:pStyle w:val="Footer"/>
    </w:pPr>
    <w:r w:rsidRPr="00F8411A">
      <w:tab/>
    </w:r>
    <w:r w:rsidRPr="0046269E">
      <w:fldChar w:fldCharType="begin"/>
    </w:r>
    <w:r w:rsidRPr="0046269E">
      <w:instrText xml:space="preserve"> PAGE   \* MERGEFORMAT </w:instrText>
    </w:r>
    <w:r w:rsidRPr="0046269E">
      <w:fldChar w:fldCharType="separate"/>
    </w:r>
    <w:r w:rsidRPr="0046269E">
      <w:t>1</w:t>
    </w:r>
    <w:r w:rsidRPr="0046269E">
      <w:fldChar w:fldCharType="end"/>
    </w:r>
  </w:p>
  <w:p w14:paraId="72E5862F" w14:textId="77777777" w:rsidR="001A7DDF" w:rsidRPr="0046269E" w:rsidRDefault="00675311" w:rsidP="00675311">
    <w:pPr>
      <w:pStyle w:val="Footer"/>
      <w:tabs>
        <w:tab w:val="clear" w:pos="10080"/>
        <w:tab w:val="left" w:pos="8556"/>
      </w:tabs>
    </w:pPr>
    <w:r>
      <w:tab/>
    </w:r>
  </w:p>
  <w:p w14:paraId="6A59B54E" w14:textId="77777777" w:rsidR="001A7DDF" w:rsidRDefault="001A7DDF" w:rsidP="00627168">
    <w:pPr>
      <w:pStyle w:val="Footer"/>
    </w:pPr>
  </w:p>
  <w:p w14:paraId="0E8D5179" w14:textId="77777777" w:rsidR="00FD4F28" w:rsidRDefault="00FD4F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3BD4746F" w14:textId="77777777" w:rsidR="00810DF6" w:rsidRDefault="00810DF6" w:rsidP="0062716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60838DCE" w14:textId="77777777" w:rsidR="00810DF6" w:rsidRDefault="00000000" w:rsidP="00627168">
        <w:pPr>
          <w:pStyle w:val="Footer"/>
          <w:rPr>
            <w:noProof/>
          </w:rPr>
        </w:pPr>
      </w:p>
    </w:sdtContent>
  </w:sdt>
  <w:p w14:paraId="31E3FC9E" w14:textId="77777777" w:rsidR="00E52F68" w:rsidRDefault="00E52F68" w:rsidP="00627168"/>
  <w:p w14:paraId="125EF8A4" w14:textId="77777777" w:rsidR="00E52F68" w:rsidRDefault="00E52F68" w:rsidP="00627168"/>
  <w:p w14:paraId="60756ABE" w14:textId="77777777" w:rsidR="00ED1CA5" w:rsidRDefault="00ED1CA5" w:rsidP="00627168"/>
  <w:p w14:paraId="138CD996" w14:textId="77777777" w:rsidR="00FD4F28" w:rsidRDefault="00FD4F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E67A" w14:textId="77777777" w:rsidR="007D74CA" w:rsidRDefault="007D74CA" w:rsidP="00627168">
      <w:r>
        <w:separator/>
      </w:r>
    </w:p>
    <w:p w14:paraId="13DAA5AC" w14:textId="77777777" w:rsidR="007D74CA" w:rsidRDefault="007D74CA" w:rsidP="00627168"/>
    <w:p w14:paraId="461278AC" w14:textId="77777777" w:rsidR="007D74CA" w:rsidRDefault="007D74CA" w:rsidP="00627168"/>
    <w:p w14:paraId="4DAC395F" w14:textId="77777777" w:rsidR="007D74CA" w:rsidRDefault="007D74CA" w:rsidP="00627168"/>
    <w:p w14:paraId="6321D803" w14:textId="77777777" w:rsidR="007D74CA" w:rsidRDefault="007D74CA" w:rsidP="00627168"/>
    <w:p w14:paraId="2468D783" w14:textId="77777777" w:rsidR="007D74CA" w:rsidRDefault="007D74CA" w:rsidP="00627168"/>
    <w:p w14:paraId="6520900F" w14:textId="77777777" w:rsidR="007D74CA" w:rsidRDefault="007D74CA" w:rsidP="00627168"/>
    <w:p w14:paraId="2D4376A0" w14:textId="77777777" w:rsidR="007D74CA" w:rsidRDefault="007D74CA"/>
  </w:footnote>
  <w:footnote w:type="continuationSeparator" w:id="0">
    <w:p w14:paraId="51A97A83" w14:textId="77777777" w:rsidR="007D74CA" w:rsidRDefault="007D74CA" w:rsidP="00627168">
      <w:r>
        <w:continuationSeparator/>
      </w:r>
    </w:p>
    <w:p w14:paraId="6DCDDE23" w14:textId="77777777" w:rsidR="007D74CA" w:rsidRDefault="007D74CA" w:rsidP="00627168"/>
    <w:p w14:paraId="0DCFC9CC" w14:textId="77777777" w:rsidR="007D74CA" w:rsidRDefault="007D74CA" w:rsidP="00627168"/>
    <w:p w14:paraId="777D4BEE" w14:textId="77777777" w:rsidR="007D74CA" w:rsidRDefault="007D74CA" w:rsidP="00627168"/>
    <w:p w14:paraId="1CD6EBD7" w14:textId="77777777" w:rsidR="007D74CA" w:rsidRDefault="007D74CA" w:rsidP="00627168"/>
    <w:p w14:paraId="7C224CAD" w14:textId="77777777" w:rsidR="007D74CA" w:rsidRDefault="007D74CA" w:rsidP="00627168"/>
    <w:p w14:paraId="4AE4842E" w14:textId="77777777" w:rsidR="007D74CA" w:rsidRDefault="007D74CA" w:rsidP="00627168"/>
    <w:p w14:paraId="3BAFB1F3" w14:textId="77777777" w:rsidR="007D74CA" w:rsidRDefault="007D74CA"/>
  </w:footnote>
  <w:footnote w:type="continuationNotice" w:id="1">
    <w:p w14:paraId="6F998774" w14:textId="77777777" w:rsidR="007D74CA" w:rsidRDefault="007D74CA">
      <w:pPr>
        <w:spacing w:before="0" w:after="0" w:line="240" w:lineRule="auto"/>
      </w:pPr>
    </w:p>
    <w:p w14:paraId="6FEE5EBB" w14:textId="77777777" w:rsidR="007D74CA" w:rsidRDefault="007D7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F16" w14:textId="77777777" w:rsidR="00675311" w:rsidRDefault="00675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8086" w14:textId="77777777" w:rsidR="00ED1CA5" w:rsidRDefault="008E388D" w:rsidP="00627168">
    <w:pPr>
      <w:pStyle w:val="BodyTextIndent"/>
    </w:pPr>
    <w:r>
      <w:rPr>
        <w:noProof/>
      </w:rPr>
      <w:drawing>
        <wp:anchor distT="0" distB="0" distL="114300" distR="114300" simplePos="0" relativeHeight="251659264" behindDoc="0" locked="0" layoutInCell="1" allowOverlap="1" wp14:anchorId="5C28C8B0" wp14:editId="23A80273">
          <wp:simplePos x="0" y="0"/>
          <wp:positionH relativeFrom="column">
            <wp:posOffset>-228600</wp:posOffset>
          </wp:positionH>
          <wp:positionV relativeFrom="paragraph">
            <wp:posOffset>208915</wp:posOffset>
          </wp:positionV>
          <wp:extent cx="3074796" cy="832758"/>
          <wp:effectExtent l="0" t="0" r="0" b="0"/>
          <wp:wrapNone/>
          <wp:docPr id="1284474837" name="Picture 1284474837"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4837" name="Picture 1284474837" descr="A black background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74796" cy="832758"/>
                  </a:xfrm>
                  <a:prstGeom prst="rect">
                    <a:avLst/>
                  </a:prstGeom>
                </pic:spPr>
              </pic:pic>
            </a:graphicData>
          </a:graphic>
          <wp14:sizeRelH relativeFrom="page">
            <wp14:pctWidth>0</wp14:pctWidth>
          </wp14:sizeRelH>
          <wp14:sizeRelV relativeFrom="page">
            <wp14:pctHeight>0</wp14:pctHeight>
          </wp14:sizeRelV>
        </wp:anchor>
      </w:drawing>
    </w:r>
  </w:p>
  <w:p w14:paraId="0D53774A" w14:textId="77777777" w:rsidR="00FD4F28" w:rsidRDefault="00FD4F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8B06" w14:textId="77777777" w:rsidR="00675311" w:rsidRDefault="00675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5071AA"/>
    <w:lvl w:ilvl="0">
      <w:start w:val="1"/>
      <w:numFmt w:val="decimal"/>
      <w:lvlText w:val="%1."/>
      <w:lvlJc w:val="left"/>
      <w:pPr>
        <w:tabs>
          <w:tab w:val="num" w:pos="1800"/>
        </w:tabs>
        <w:ind w:left="1800" w:hanging="360"/>
      </w:pPr>
    </w:lvl>
  </w:abstractNum>
  <w:abstractNum w:abstractNumId="1" w15:restartNumberingAfterBreak="0">
    <w:nsid w:val="FFFFFF80"/>
    <w:multiLevelType w:val="singleLevel"/>
    <w:tmpl w:val="02EC738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8"/>
    <w:multiLevelType w:val="singleLevel"/>
    <w:tmpl w:val="D0D4CC82"/>
    <w:lvl w:ilvl="0">
      <w:start w:val="1"/>
      <w:numFmt w:val="decimal"/>
      <w:lvlText w:val="%1."/>
      <w:lvlJc w:val="left"/>
      <w:pPr>
        <w:tabs>
          <w:tab w:val="num" w:pos="360"/>
        </w:tabs>
        <w:ind w:left="360" w:hanging="360"/>
      </w:pPr>
    </w:lvl>
  </w:abstractNum>
  <w:abstractNum w:abstractNumId="3" w15:restartNumberingAfterBreak="0">
    <w:nsid w:val="00641A67"/>
    <w:multiLevelType w:val="hybridMultilevel"/>
    <w:tmpl w:val="1CDEB10A"/>
    <w:lvl w:ilvl="0" w:tplc="8780B172">
      <w:start w:val="1"/>
      <w:numFmt w:val="bullet"/>
      <w:lvlText w:val=""/>
      <w:lvlJc w:val="left"/>
      <w:pPr>
        <w:ind w:left="1440"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4" w15:restartNumberingAfterBreak="0">
    <w:nsid w:val="02A05AA5"/>
    <w:multiLevelType w:val="multilevel"/>
    <w:tmpl w:val="18EC81B0"/>
    <w:styleLink w:val="CurrentList4"/>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2F059C5"/>
    <w:multiLevelType w:val="hybridMultilevel"/>
    <w:tmpl w:val="19925C56"/>
    <w:lvl w:ilvl="0" w:tplc="8D6ABE12">
      <w:start w:val="1"/>
      <w:numFmt w:val="bullet"/>
      <w:pStyle w:val="ListBullet"/>
      <w:lvlText w:val=""/>
      <w:lvlJc w:val="left"/>
      <w:pPr>
        <w:ind w:left="720" w:hanging="360"/>
      </w:pPr>
      <w:rPr>
        <w:rFonts w:ascii="Symbol" w:hAnsi="Symbol" w:hint="default"/>
        <w:color w:val="B2B2B2" w:themeColor="accent2"/>
        <w:u w:color="DDDDDD" w:themeColor="accent1"/>
      </w:rPr>
    </w:lvl>
    <w:lvl w:ilvl="1" w:tplc="85AC7CF8">
      <w:start w:val="1"/>
      <w:numFmt w:val="bullet"/>
      <w:pStyle w:val="ListBullet2"/>
      <w:lvlText w:val="o"/>
      <w:lvlJc w:val="left"/>
      <w:pPr>
        <w:ind w:left="1440" w:hanging="360"/>
      </w:pPr>
      <w:rPr>
        <w:rFonts w:ascii="Courier New" w:hAnsi="Courier New" w:cs="Courier New" w:hint="default"/>
      </w:rPr>
    </w:lvl>
    <w:lvl w:ilvl="2" w:tplc="E078E028">
      <w:start w:val="1"/>
      <w:numFmt w:val="bullet"/>
      <w:pStyle w:val="List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F0E81"/>
    <w:multiLevelType w:val="hybridMultilevel"/>
    <w:tmpl w:val="40F8C532"/>
    <w:lvl w:ilvl="0" w:tplc="04090013">
      <w:start w:val="1"/>
      <w:numFmt w:val="upp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0793422F"/>
    <w:multiLevelType w:val="hybridMultilevel"/>
    <w:tmpl w:val="AB2091FE"/>
    <w:lvl w:ilvl="0" w:tplc="3DEC1306">
      <w:start w:val="1"/>
      <w:numFmt w:val="bullet"/>
      <w:lvlText w:val=""/>
      <w:lvlJc w:val="left"/>
      <w:pPr>
        <w:ind w:left="1872" w:hanging="216"/>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8" w15:restartNumberingAfterBreak="0">
    <w:nsid w:val="0F55582A"/>
    <w:multiLevelType w:val="hybridMultilevel"/>
    <w:tmpl w:val="1310C5B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0484FF6"/>
    <w:multiLevelType w:val="hybridMultilevel"/>
    <w:tmpl w:val="BF5CCF6C"/>
    <w:lvl w:ilvl="0" w:tplc="C00039C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0" w15:restartNumberingAfterBreak="0">
    <w:nsid w:val="19D36615"/>
    <w:multiLevelType w:val="hybridMultilevel"/>
    <w:tmpl w:val="1EF4FF00"/>
    <w:lvl w:ilvl="0" w:tplc="487AC17A">
      <w:start w:val="1"/>
      <w:numFmt w:val="decimal"/>
      <w:pStyle w:val="ListNumber"/>
      <w:lvlText w:val="%1."/>
      <w:lvlJc w:val="left"/>
      <w:pPr>
        <w:ind w:left="360" w:hanging="360"/>
      </w:pPr>
      <w:rPr>
        <w:rFonts w:hint="default"/>
        <w:color w:val="5F5F5F" w:themeColor="accent5"/>
        <w:u w:color="DDDDDD"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E53135A"/>
    <w:multiLevelType w:val="hybridMultilevel"/>
    <w:tmpl w:val="0FC8B55A"/>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B19C512C">
      <w:start w:val="1"/>
      <w:numFmt w:val="lowerRoman"/>
      <w:lvlText w:val="%3."/>
      <w:lvlJc w:val="right"/>
      <w:pPr>
        <w:ind w:left="1656" w:hanging="216"/>
      </w:pPr>
      <w:rPr>
        <w:rFonts w:hint="default"/>
      </w:r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1C02AF"/>
    <w:multiLevelType w:val="multilevel"/>
    <w:tmpl w:val="7F101476"/>
    <w:styleLink w:val="CurrentList1"/>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655CAF"/>
    <w:multiLevelType w:val="hybridMultilevel"/>
    <w:tmpl w:val="37008BB6"/>
    <w:lvl w:ilvl="0" w:tplc="4E7A2C5A">
      <w:start w:val="1"/>
      <w:numFmt w:val="bullet"/>
      <w:pStyle w:val="ListNumber4"/>
      <w:lvlText w:val=""/>
      <w:lvlJc w:val="left"/>
      <w:pPr>
        <w:ind w:left="2016"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14" w15:restartNumberingAfterBreak="0">
    <w:nsid w:val="43677C38"/>
    <w:multiLevelType w:val="multilevel"/>
    <w:tmpl w:val="817CD7B8"/>
    <w:styleLink w:val="CurrentList3"/>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584FD5"/>
    <w:multiLevelType w:val="hybridMultilevel"/>
    <w:tmpl w:val="3DD2F936"/>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4C70BB86">
      <w:start w:val="1"/>
      <w:numFmt w:val="lowerRoman"/>
      <w:lvlText w:val="%3."/>
      <w:lvlJc w:val="right"/>
      <w:pPr>
        <w:ind w:left="2160" w:hanging="360"/>
      </w:pPr>
      <w:rPr>
        <w:rFonts w:hint="default"/>
      </w:rPr>
    </w:lvl>
    <w:lvl w:ilvl="3" w:tplc="1BA4AE10">
      <w:start w:val="1"/>
      <w:numFmt w:val="bullet"/>
      <w:lvlText w:val=""/>
      <w:lvlJc w:val="left"/>
      <w:pPr>
        <w:ind w:left="2880" w:hanging="360"/>
      </w:pPr>
      <w:rPr>
        <w:rFonts w:ascii="Symbol" w:hAnsi="Symbol" w:hint="default"/>
      </w:rPr>
    </w:lvl>
    <w:lvl w:ilvl="4" w:tplc="CC14A774">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CF16E7"/>
    <w:multiLevelType w:val="hybridMultilevel"/>
    <w:tmpl w:val="81D663C6"/>
    <w:lvl w:ilvl="0" w:tplc="783645F8">
      <w:start w:val="1"/>
      <w:numFmt w:val="bullet"/>
      <w:lvlText w:val=""/>
      <w:lvlJc w:val="left"/>
      <w:pPr>
        <w:ind w:left="2160" w:hanging="504"/>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7" w15:restartNumberingAfterBreak="0">
    <w:nsid w:val="54977660"/>
    <w:multiLevelType w:val="hybridMultilevel"/>
    <w:tmpl w:val="DC0096D8"/>
    <w:lvl w:ilvl="0" w:tplc="4DB69A66">
      <w:start w:val="1"/>
      <w:numFmt w:val="bullet"/>
      <w:pStyle w:val="ListBullet4"/>
      <w:lvlText w:val=""/>
      <w:lvlJc w:val="left"/>
      <w:pPr>
        <w:ind w:left="2016"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8" w15:restartNumberingAfterBreak="0">
    <w:nsid w:val="596E175B"/>
    <w:multiLevelType w:val="hybridMultilevel"/>
    <w:tmpl w:val="A4C0E9FC"/>
    <w:lvl w:ilvl="0" w:tplc="FFFFFFFF">
      <w:start w:val="1"/>
      <w:numFmt w:val="bullet"/>
      <w:lvlText w:val=""/>
      <w:lvlJc w:val="left"/>
      <w:pPr>
        <w:ind w:left="720" w:hanging="360"/>
      </w:pPr>
      <w:rPr>
        <w:rFonts w:ascii="Symbol" w:hAnsi="Symbol" w:hint="default"/>
        <w:color w:val="B2B2B2" w:themeColor="accent2"/>
        <w:u w:color="DDDDDD" w:themeColor="accent1"/>
      </w:rPr>
    </w:lvl>
    <w:lvl w:ilvl="1" w:tplc="0B089752">
      <w:start w:val="1"/>
      <w:numFmt w:val="lowerLetter"/>
      <w:pStyle w:val="ListNumber2"/>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B06F84"/>
    <w:multiLevelType w:val="hybridMultilevel"/>
    <w:tmpl w:val="2DD6D23A"/>
    <w:lvl w:ilvl="0" w:tplc="97E6F4DC">
      <w:start w:val="1"/>
      <w:numFmt w:val="lowerRoman"/>
      <w:pStyle w:val="ListNumber3"/>
      <w:lvlText w:val="%1."/>
      <w:lvlJc w:val="right"/>
      <w:pPr>
        <w:ind w:left="1440" w:hanging="216"/>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20" w15:restartNumberingAfterBreak="0">
    <w:nsid w:val="65AD7941"/>
    <w:multiLevelType w:val="multilevel"/>
    <w:tmpl w:val="31421912"/>
    <w:styleLink w:val="CurrentList2"/>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0837D2"/>
    <w:multiLevelType w:val="hybridMultilevel"/>
    <w:tmpl w:val="7BC822F6"/>
    <w:lvl w:ilvl="0" w:tplc="E918DEDA">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22" w15:restartNumberingAfterBreak="0">
    <w:nsid w:val="69DB4EA8"/>
    <w:multiLevelType w:val="hybridMultilevel"/>
    <w:tmpl w:val="9DCE95BA"/>
    <w:lvl w:ilvl="0" w:tplc="FFFFFFFF">
      <w:start w:val="1"/>
      <w:numFmt w:val="bullet"/>
      <w:lvlText w:val=""/>
      <w:lvlJc w:val="left"/>
      <w:pPr>
        <w:ind w:left="2016" w:hanging="360"/>
      </w:pPr>
      <w:rPr>
        <w:rFonts w:ascii="Symbol" w:hAnsi="Symbol" w:hint="default"/>
        <w:color w:val="B2B2B2" w:themeColor="accent2"/>
        <w:u w:color="DDDDDD" w:themeColor="accent1"/>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3" w15:restartNumberingAfterBreak="0">
    <w:nsid w:val="74105C0B"/>
    <w:multiLevelType w:val="hybridMultilevel"/>
    <w:tmpl w:val="59244B68"/>
    <w:lvl w:ilvl="0" w:tplc="57D880D4">
      <w:start w:val="1"/>
      <w:numFmt w:val="decimal"/>
      <w:pStyle w:val="ListNumber5"/>
      <w:lvlText w:val="%1."/>
      <w:lvlJc w:val="left"/>
      <w:pPr>
        <w:ind w:left="2664" w:hanging="288"/>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746429">
    <w:abstractNumId w:val="5"/>
  </w:num>
  <w:num w:numId="2" w16cid:durableId="1432580889">
    <w:abstractNumId w:val="1"/>
  </w:num>
  <w:num w:numId="3" w16cid:durableId="1946840937">
    <w:abstractNumId w:val="10"/>
  </w:num>
  <w:num w:numId="4" w16cid:durableId="1310869062">
    <w:abstractNumId w:val="18"/>
  </w:num>
  <w:num w:numId="5" w16cid:durableId="1758211017">
    <w:abstractNumId w:val="12"/>
  </w:num>
  <w:num w:numId="6" w16cid:durableId="1497988374">
    <w:abstractNumId w:val="20"/>
  </w:num>
  <w:num w:numId="7" w16cid:durableId="371807454">
    <w:abstractNumId w:val="15"/>
  </w:num>
  <w:num w:numId="8" w16cid:durableId="1956863561">
    <w:abstractNumId w:val="14"/>
  </w:num>
  <w:num w:numId="9" w16cid:durableId="552083493">
    <w:abstractNumId w:val="4"/>
  </w:num>
  <w:num w:numId="10" w16cid:durableId="564340433">
    <w:abstractNumId w:val="2"/>
  </w:num>
  <w:num w:numId="11" w16cid:durableId="166798892">
    <w:abstractNumId w:val="15"/>
    <w:lvlOverride w:ilvl="0">
      <w:startOverride w:val="1"/>
    </w:lvlOverride>
  </w:num>
  <w:num w:numId="12" w16cid:durableId="1381703953">
    <w:abstractNumId w:val="15"/>
    <w:lvlOverride w:ilvl="0">
      <w:startOverride w:val="1"/>
    </w:lvlOverride>
  </w:num>
  <w:num w:numId="13" w16cid:durableId="1595240673">
    <w:abstractNumId w:val="11"/>
  </w:num>
  <w:num w:numId="14" w16cid:durableId="1730029659">
    <w:abstractNumId w:val="6"/>
  </w:num>
  <w:num w:numId="15" w16cid:durableId="126166091">
    <w:abstractNumId w:val="19"/>
  </w:num>
  <w:num w:numId="16" w16cid:durableId="157962703">
    <w:abstractNumId w:val="8"/>
  </w:num>
  <w:num w:numId="17" w16cid:durableId="1739398482">
    <w:abstractNumId w:val="7"/>
  </w:num>
  <w:num w:numId="18" w16cid:durableId="2139256963">
    <w:abstractNumId w:val="9"/>
  </w:num>
  <w:num w:numId="19" w16cid:durableId="292292332">
    <w:abstractNumId w:val="21"/>
  </w:num>
  <w:num w:numId="20" w16cid:durableId="696661578">
    <w:abstractNumId w:val="16"/>
  </w:num>
  <w:num w:numId="21" w16cid:durableId="458108101">
    <w:abstractNumId w:val="17"/>
  </w:num>
  <w:num w:numId="22" w16cid:durableId="905578028">
    <w:abstractNumId w:val="22"/>
  </w:num>
  <w:num w:numId="23" w16cid:durableId="835532935">
    <w:abstractNumId w:val="3"/>
  </w:num>
  <w:num w:numId="24" w16cid:durableId="1324040856">
    <w:abstractNumId w:val="13"/>
  </w:num>
  <w:num w:numId="25" w16cid:durableId="111364073">
    <w:abstractNumId w:val="23"/>
  </w:num>
  <w:num w:numId="26" w16cid:durableId="1879388212">
    <w:abstractNumId w:val="0"/>
  </w:num>
  <w:num w:numId="27" w16cid:durableId="1871333487">
    <w:abstractNumId w:val="5"/>
  </w:num>
  <w:num w:numId="28" w16cid:durableId="643699713">
    <w:abstractNumId w:val="10"/>
    <w:lvlOverride w:ilvl="0">
      <w:startOverride w:val="1"/>
    </w:lvlOverride>
    <w:lvlOverride w:ilvl="1"/>
    <w:lvlOverride w:ilvl="2"/>
    <w:lvlOverride w:ilvl="3"/>
    <w:lvlOverride w:ilvl="4"/>
    <w:lvlOverride w:ilvl="5"/>
    <w:lvlOverride w:ilvl="6"/>
    <w:lvlOverride w:ilvl="7"/>
    <w:lvlOverride w:ilvl="8"/>
  </w:num>
  <w:num w:numId="29" w16cid:durableId="1406494469">
    <w:abstractNumId w:val="17"/>
  </w:num>
  <w:num w:numId="30" w16cid:durableId="1106655640">
    <w:abstractNumId w:val="1"/>
  </w:num>
  <w:num w:numId="31" w16cid:durableId="1233541976">
    <w:abstractNumId w:val="18"/>
    <w:lvlOverride w:ilvl="0"/>
    <w:lvlOverride w:ilvl="1">
      <w:startOverride w:val="1"/>
    </w:lvlOverride>
    <w:lvlOverride w:ilvl="2"/>
    <w:lvlOverride w:ilvl="3"/>
    <w:lvlOverride w:ilvl="4"/>
    <w:lvlOverride w:ilvl="5"/>
    <w:lvlOverride w:ilvl="6"/>
    <w:lvlOverride w:ilvl="7"/>
    <w:lvlOverride w:ilvl="8"/>
  </w:num>
  <w:num w:numId="32" w16cid:durableId="601686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2306646">
    <w:abstractNumId w:val="13"/>
  </w:num>
  <w:num w:numId="34" w16cid:durableId="18681306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0B"/>
    <w:rsid w:val="0000092E"/>
    <w:rsid w:val="00000D3D"/>
    <w:rsid w:val="00012A83"/>
    <w:rsid w:val="00017C3C"/>
    <w:rsid w:val="00021F2E"/>
    <w:rsid w:val="00023F87"/>
    <w:rsid w:val="00026EAE"/>
    <w:rsid w:val="0003123C"/>
    <w:rsid w:val="00032A10"/>
    <w:rsid w:val="00043FFE"/>
    <w:rsid w:val="00044074"/>
    <w:rsid w:val="0004430C"/>
    <w:rsid w:val="00050CF6"/>
    <w:rsid w:val="00066DE2"/>
    <w:rsid w:val="00077931"/>
    <w:rsid w:val="00084E91"/>
    <w:rsid w:val="000900B6"/>
    <w:rsid w:val="00097F86"/>
    <w:rsid w:val="000A649E"/>
    <w:rsid w:val="000A7626"/>
    <w:rsid w:val="000B1016"/>
    <w:rsid w:val="000B5BF5"/>
    <w:rsid w:val="000B5DA2"/>
    <w:rsid w:val="000C1C28"/>
    <w:rsid w:val="000C5872"/>
    <w:rsid w:val="000E0979"/>
    <w:rsid w:val="000E1544"/>
    <w:rsid w:val="000E5811"/>
    <w:rsid w:val="001001E7"/>
    <w:rsid w:val="001069A5"/>
    <w:rsid w:val="0011282B"/>
    <w:rsid w:val="001130FF"/>
    <w:rsid w:val="00113C57"/>
    <w:rsid w:val="001155CE"/>
    <w:rsid w:val="001225D9"/>
    <w:rsid w:val="00124370"/>
    <w:rsid w:val="00126443"/>
    <w:rsid w:val="001343FD"/>
    <w:rsid w:val="00160392"/>
    <w:rsid w:val="0016123C"/>
    <w:rsid w:val="00165812"/>
    <w:rsid w:val="00165DC4"/>
    <w:rsid w:val="00171067"/>
    <w:rsid w:val="00186493"/>
    <w:rsid w:val="00192A3A"/>
    <w:rsid w:val="001A5429"/>
    <w:rsid w:val="001A7DDF"/>
    <w:rsid w:val="001B1DAF"/>
    <w:rsid w:val="001C514A"/>
    <w:rsid w:val="001C7F44"/>
    <w:rsid w:val="001D0663"/>
    <w:rsid w:val="001D1C22"/>
    <w:rsid w:val="001E11F1"/>
    <w:rsid w:val="001E1E58"/>
    <w:rsid w:val="001E47B6"/>
    <w:rsid w:val="001E5FF8"/>
    <w:rsid w:val="00203142"/>
    <w:rsid w:val="00206719"/>
    <w:rsid w:val="00212B1B"/>
    <w:rsid w:val="00216FB1"/>
    <w:rsid w:val="00222E07"/>
    <w:rsid w:val="00240312"/>
    <w:rsid w:val="00247B17"/>
    <w:rsid w:val="00251D59"/>
    <w:rsid w:val="00252E4A"/>
    <w:rsid w:val="00262A58"/>
    <w:rsid w:val="002642A8"/>
    <w:rsid w:val="002925A2"/>
    <w:rsid w:val="002A137B"/>
    <w:rsid w:val="002C53C4"/>
    <w:rsid w:val="002C5B94"/>
    <w:rsid w:val="002E013F"/>
    <w:rsid w:val="002E15EE"/>
    <w:rsid w:val="002E66AA"/>
    <w:rsid w:val="0031130D"/>
    <w:rsid w:val="00314A6F"/>
    <w:rsid w:val="00334394"/>
    <w:rsid w:val="00344609"/>
    <w:rsid w:val="00347AF5"/>
    <w:rsid w:val="00352713"/>
    <w:rsid w:val="00352ED6"/>
    <w:rsid w:val="003553DC"/>
    <w:rsid w:val="00360F98"/>
    <w:rsid w:val="00362478"/>
    <w:rsid w:val="00367E7E"/>
    <w:rsid w:val="0037144C"/>
    <w:rsid w:val="00374421"/>
    <w:rsid w:val="00377546"/>
    <w:rsid w:val="00385D4D"/>
    <w:rsid w:val="00394323"/>
    <w:rsid w:val="003A2CB1"/>
    <w:rsid w:val="003B1A4B"/>
    <w:rsid w:val="003B242C"/>
    <w:rsid w:val="003B5758"/>
    <w:rsid w:val="003C70B8"/>
    <w:rsid w:val="003D022C"/>
    <w:rsid w:val="003D04F0"/>
    <w:rsid w:val="003D082F"/>
    <w:rsid w:val="003D36A9"/>
    <w:rsid w:val="003D59A7"/>
    <w:rsid w:val="003D5C49"/>
    <w:rsid w:val="003E78A7"/>
    <w:rsid w:val="003F0714"/>
    <w:rsid w:val="003F13B0"/>
    <w:rsid w:val="003F1C9F"/>
    <w:rsid w:val="003F5F4A"/>
    <w:rsid w:val="00400698"/>
    <w:rsid w:val="00403423"/>
    <w:rsid w:val="0041019E"/>
    <w:rsid w:val="004211AF"/>
    <w:rsid w:val="00422A92"/>
    <w:rsid w:val="00423A18"/>
    <w:rsid w:val="004262DD"/>
    <w:rsid w:val="0042646F"/>
    <w:rsid w:val="00434963"/>
    <w:rsid w:val="00435096"/>
    <w:rsid w:val="00437365"/>
    <w:rsid w:val="00440BF7"/>
    <w:rsid w:val="004411FB"/>
    <w:rsid w:val="00443212"/>
    <w:rsid w:val="004567E6"/>
    <w:rsid w:val="004616EE"/>
    <w:rsid w:val="0046269E"/>
    <w:rsid w:val="00493EC0"/>
    <w:rsid w:val="00495909"/>
    <w:rsid w:val="004B5251"/>
    <w:rsid w:val="004C332B"/>
    <w:rsid w:val="004C7B3E"/>
    <w:rsid w:val="004D00FB"/>
    <w:rsid w:val="004D53B1"/>
    <w:rsid w:val="004E6340"/>
    <w:rsid w:val="004F3799"/>
    <w:rsid w:val="00513832"/>
    <w:rsid w:val="00513E5F"/>
    <w:rsid w:val="0052099A"/>
    <w:rsid w:val="00522471"/>
    <w:rsid w:val="00522855"/>
    <w:rsid w:val="00526C37"/>
    <w:rsid w:val="0053111B"/>
    <w:rsid w:val="00533047"/>
    <w:rsid w:val="00554C5E"/>
    <w:rsid w:val="00562651"/>
    <w:rsid w:val="00575CC7"/>
    <w:rsid w:val="00577B45"/>
    <w:rsid w:val="005816A0"/>
    <w:rsid w:val="00582502"/>
    <w:rsid w:val="005919AF"/>
    <w:rsid w:val="005A0F6E"/>
    <w:rsid w:val="005A20E2"/>
    <w:rsid w:val="005A6A47"/>
    <w:rsid w:val="005B5B61"/>
    <w:rsid w:val="005B6A1A"/>
    <w:rsid w:val="005B75E8"/>
    <w:rsid w:val="005B7B98"/>
    <w:rsid w:val="005C0307"/>
    <w:rsid w:val="005C38FC"/>
    <w:rsid w:val="005D2146"/>
    <w:rsid w:val="005D585A"/>
    <w:rsid w:val="005F6388"/>
    <w:rsid w:val="005F6D4E"/>
    <w:rsid w:val="00614293"/>
    <w:rsid w:val="006233C0"/>
    <w:rsid w:val="00627168"/>
    <w:rsid w:val="0063273F"/>
    <w:rsid w:val="006329E1"/>
    <w:rsid w:val="00633E73"/>
    <w:rsid w:val="006343CD"/>
    <w:rsid w:val="0065041A"/>
    <w:rsid w:val="00655308"/>
    <w:rsid w:val="00664450"/>
    <w:rsid w:val="00675311"/>
    <w:rsid w:val="0068577D"/>
    <w:rsid w:val="0069363D"/>
    <w:rsid w:val="006936EB"/>
    <w:rsid w:val="006B1713"/>
    <w:rsid w:val="006B2383"/>
    <w:rsid w:val="006B7D4A"/>
    <w:rsid w:val="006D0144"/>
    <w:rsid w:val="006E1F76"/>
    <w:rsid w:val="006E3FC8"/>
    <w:rsid w:val="006E523A"/>
    <w:rsid w:val="006E6DE9"/>
    <w:rsid w:val="006F3323"/>
    <w:rsid w:val="006F35BA"/>
    <w:rsid w:val="00702441"/>
    <w:rsid w:val="00707756"/>
    <w:rsid w:val="007157EF"/>
    <w:rsid w:val="00721782"/>
    <w:rsid w:val="00730BAF"/>
    <w:rsid w:val="0073670F"/>
    <w:rsid w:val="00736BA3"/>
    <w:rsid w:val="00740FCE"/>
    <w:rsid w:val="007432E8"/>
    <w:rsid w:val="00747898"/>
    <w:rsid w:val="00753E67"/>
    <w:rsid w:val="00762DE0"/>
    <w:rsid w:val="007703E5"/>
    <w:rsid w:val="0078103A"/>
    <w:rsid w:val="0078147B"/>
    <w:rsid w:val="00787A89"/>
    <w:rsid w:val="00794F5D"/>
    <w:rsid w:val="007A4484"/>
    <w:rsid w:val="007B17C4"/>
    <w:rsid w:val="007B1F5A"/>
    <w:rsid w:val="007B3AB6"/>
    <w:rsid w:val="007B4D2A"/>
    <w:rsid w:val="007B5AFF"/>
    <w:rsid w:val="007C062C"/>
    <w:rsid w:val="007C136F"/>
    <w:rsid w:val="007C3FF2"/>
    <w:rsid w:val="007C5AF4"/>
    <w:rsid w:val="007C6FE9"/>
    <w:rsid w:val="007D5767"/>
    <w:rsid w:val="007D74CA"/>
    <w:rsid w:val="007D7CFC"/>
    <w:rsid w:val="007E55BF"/>
    <w:rsid w:val="007F793B"/>
    <w:rsid w:val="00810DF6"/>
    <w:rsid w:val="00813256"/>
    <w:rsid w:val="00813EC8"/>
    <w:rsid w:val="00817F8C"/>
    <w:rsid w:val="0083428B"/>
    <w:rsid w:val="00840881"/>
    <w:rsid w:val="0085664E"/>
    <w:rsid w:val="00866846"/>
    <w:rsid w:val="00876F99"/>
    <w:rsid w:val="00877A44"/>
    <w:rsid w:val="008820B3"/>
    <w:rsid w:val="00886169"/>
    <w:rsid w:val="00886F44"/>
    <w:rsid w:val="00894935"/>
    <w:rsid w:val="008965F6"/>
    <w:rsid w:val="008A2B5E"/>
    <w:rsid w:val="008C10C6"/>
    <w:rsid w:val="008C3B75"/>
    <w:rsid w:val="008C47BC"/>
    <w:rsid w:val="008D3386"/>
    <w:rsid w:val="008D3518"/>
    <w:rsid w:val="008E388D"/>
    <w:rsid w:val="008E437B"/>
    <w:rsid w:val="008E72A3"/>
    <w:rsid w:val="008F09DD"/>
    <w:rsid w:val="008F704C"/>
    <w:rsid w:val="0090206C"/>
    <w:rsid w:val="00902998"/>
    <w:rsid w:val="00905A78"/>
    <w:rsid w:val="00911933"/>
    <w:rsid w:val="00912BD3"/>
    <w:rsid w:val="00912C1B"/>
    <w:rsid w:val="009148E2"/>
    <w:rsid w:val="0092125E"/>
    <w:rsid w:val="00924319"/>
    <w:rsid w:val="00951EBD"/>
    <w:rsid w:val="00952A7A"/>
    <w:rsid w:val="00956A86"/>
    <w:rsid w:val="00974BF8"/>
    <w:rsid w:val="00983619"/>
    <w:rsid w:val="00995529"/>
    <w:rsid w:val="00996887"/>
    <w:rsid w:val="009A3B33"/>
    <w:rsid w:val="009A45A0"/>
    <w:rsid w:val="009B35B5"/>
    <w:rsid w:val="009B4773"/>
    <w:rsid w:val="009C018F"/>
    <w:rsid w:val="009D2556"/>
    <w:rsid w:val="009E2CA6"/>
    <w:rsid w:val="009E55E1"/>
    <w:rsid w:val="00A345A6"/>
    <w:rsid w:val="00A40DEC"/>
    <w:rsid w:val="00A4127D"/>
    <w:rsid w:val="00A44EEF"/>
    <w:rsid w:val="00A630FD"/>
    <w:rsid w:val="00A74908"/>
    <w:rsid w:val="00A81579"/>
    <w:rsid w:val="00A86903"/>
    <w:rsid w:val="00A91213"/>
    <w:rsid w:val="00A960DC"/>
    <w:rsid w:val="00A9621B"/>
    <w:rsid w:val="00AA29B1"/>
    <w:rsid w:val="00AA66D7"/>
    <w:rsid w:val="00AC3653"/>
    <w:rsid w:val="00AD21C7"/>
    <w:rsid w:val="00AD672E"/>
    <w:rsid w:val="00AE0241"/>
    <w:rsid w:val="00AE43D1"/>
    <w:rsid w:val="00AE5008"/>
    <w:rsid w:val="00AF7C98"/>
    <w:rsid w:val="00B05D06"/>
    <w:rsid w:val="00B11686"/>
    <w:rsid w:val="00B26302"/>
    <w:rsid w:val="00B36201"/>
    <w:rsid w:val="00B37B3B"/>
    <w:rsid w:val="00B40D40"/>
    <w:rsid w:val="00B4298F"/>
    <w:rsid w:val="00B44C47"/>
    <w:rsid w:val="00B543E0"/>
    <w:rsid w:val="00B57756"/>
    <w:rsid w:val="00B57F4F"/>
    <w:rsid w:val="00B64E28"/>
    <w:rsid w:val="00B7636D"/>
    <w:rsid w:val="00B80CF1"/>
    <w:rsid w:val="00B87FA5"/>
    <w:rsid w:val="00BA2A38"/>
    <w:rsid w:val="00BA31C4"/>
    <w:rsid w:val="00BA3E51"/>
    <w:rsid w:val="00BA5932"/>
    <w:rsid w:val="00BB02E6"/>
    <w:rsid w:val="00BB046F"/>
    <w:rsid w:val="00BD0C60"/>
    <w:rsid w:val="00BD1807"/>
    <w:rsid w:val="00BD1D0B"/>
    <w:rsid w:val="00BE1D7A"/>
    <w:rsid w:val="00BE74FC"/>
    <w:rsid w:val="00BF5A44"/>
    <w:rsid w:val="00C02A9D"/>
    <w:rsid w:val="00C10D6C"/>
    <w:rsid w:val="00C17BCF"/>
    <w:rsid w:val="00C3246A"/>
    <w:rsid w:val="00C500E2"/>
    <w:rsid w:val="00C5392D"/>
    <w:rsid w:val="00C546FE"/>
    <w:rsid w:val="00C57532"/>
    <w:rsid w:val="00C65564"/>
    <w:rsid w:val="00C875BC"/>
    <w:rsid w:val="00C93AF0"/>
    <w:rsid w:val="00CA1107"/>
    <w:rsid w:val="00CA61D8"/>
    <w:rsid w:val="00CB70F9"/>
    <w:rsid w:val="00CD1D98"/>
    <w:rsid w:val="00CD5830"/>
    <w:rsid w:val="00CF0817"/>
    <w:rsid w:val="00CF1267"/>
    <w:rsid w:val="00CF39B9"/>
    <w:rsid w:val="00D003D2"/>
    <w:rsid w:val="00D05E0E"/>
    <w:rsid w:val="00D13200"/>
    <w:rsid w:val="00D21045"/>
    <w:rsid w:val="00D23B28"/>
    <w:rsid w:val="00D26769"/>
    <w:rsid w:val="00D27AF8"/>
    <w:rsid w:val="00D36ADC"/>
    <w:rsid w:val="00D40DE5"/>
    <w:rsid w:val="00D41CD4"/>
    <w:rsid w:val="00D501B0"/>
    <w:rsid w:val="00D51011"/>
    <w:rsid w:val="00D6543F"/>
    <w:rsid w:val="00D70EF7"/>
    <w:rsid w:val="00D74E0C"/>
    <w:rsid w:val="00D86A0A"/>
    <w:rsid w:val="00D90660"/>
    <w:rsid w:val="00D94688"/>
    <w:rsid w:val="00DA6FB0"/>
    <w:rsid w:val="00DB067F"/>
    <w:rsid w:val="00DB1C8B"/>
    <w:rsid w:val="00DB5A2E"/>
    <w:rsid w:val="00DC0528"/>
    <w:rsid w:val="00DC1104"/>
    <w:rsid w:val="00DC3A45"/>
    <w:rsid w:val="00DC54AF"/>
    <w:rsid w:val="00DC7466"/>
    <w:rsid w:val="00DC7E1C"/>
    <w:rsid w:val="00DD01AD"/>
    <w:rsid w:val="00DD0FF9"/>
    <w:rsid w:val="00DE45D9"/>
    <w:rsid w:val="00DE65A2"/>
    <w:rsid w:val="00DF2DCC"/>
    <w:rsid w:val="00E019F3"/>
    <w:rsid w:val="00E01D0E"/>
    <w:rsid w:val="00E03C36"/>
    <w:rsid w:val="00E15417"/>
    <w:rsid w:val="00E16215"/>
    <w:rsid w:val="00E31650"/>
    <w:rsid w:val="00E35169"/>
    <w:rsid w:val="00E40132"/>
    <w:rsid w:val="00E404DF"/>
    <w:rsid w:val="00E419D0"/>
    <w:rsid w:val="00E52F68"/>
    <w:rsid w:val="00E53724"/>
    <w:rsid w:val="00E552C8"/>
    <w:rsid w:val="00E5571E"/>
    <w:rsid w:val="00E60F9B"/>
    <w:rsid w:val="00E70148"/>
    <w:rsid w:val="00E707D3"/>
    <w:rsid w:val="00E74515"/>
    <w:rsid w:val="00E75006"/>
    <w:rsid w:val="00E757A0"/>
    <w:rsid w:val="00E839BB"/>
    <w:rsid w:val="00E84350"/>
    <w:rsid w:val="00E84BC5"/>
    <w:rsid w:val="00E857E2"/>
    <w:rsid w:val="00E85863"/>
    <w:rsid w:val="00E91AE4"/>
    <w:rsid w:val="00E97D6C"/>
    <w:rsid w:val="00EA431D"/>
    <w:rsid w:val="00EA5D04"/>
    <w:rsid w:val="00EB33A4"/>
    <w:rsid w:val="00EB47F9"/>
    <w:rsid w:val="00EC4BCD"/>
    <w:rsid w:val="00ED1CA5"/>
    <w:rsid w:val="00EE025B"/>
    <w:rsid w:val="00EF3397"/>
    <w:rsid w:val="00EF49E7"/>
    <w:rsid w:val="00EF50C5"/>
    <w:rsid w:val="00F15C02"/>
    <w:rsid w:val="00F273EA"/>
    <w:rsid w:val="00F33F5E"/>
    <w:rsid w:val="00F47DFD"/>
    <w:rsid w:val="00F514D1"/>
    <w:rsid w:val="00F51711"/>
    <w:rsid w:val="00F53A40"/>
    <w:rsid w:val="00F60840"/>
    <w:rsid w:val="00F63714"/>
    <w:rsid w:val="00F6693C"/>
    <w:rsid w:val="00F75B86"/>
    <w:rsid w:val="00F774BA"/>
    <w:rsid w:val="00F77933"/>
    <w:rsid w:val="00F816EC"/>
    <w:rsid w:val="00F8411A"/>
    <w:rsid w:val="00FA0D95"/>
    <w:rsid w:val="00FC1405"/>
    <w:rsid w:val="00FD4F28"/>
    <w:rsid w:val="00FD6E1C"/>
    <w:rsid w:val="00FF0913"/>
    <w:rsid w:val="00FF34EA"/>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1572"/>
  <w15:chartTrackingRefBased/>
  <w15:docId w15:val="{EF6E9D51-09C5-427A-9216-2450FCCD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4"/>
        <w:szCs w:val="24"/>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57532"/>
    <w:rPr>
      <w:rFonts w:ascii="Open Sans" w:hAnsi="Open Sans" w:cs="Open Sans"/>
      <w:sz w:val="22"/>
    </w:rPr>
  </w:style>
  <w:style w:type="paragraph" w:styleId="Heading1">
    <w:name w:val="heading 1"/>
    <w:basedOn w:val="Normal"/>
    <w:next w:val="Normal"/>
    <w:link w:val="Heading1Char"/>
    <w:uiPriority w:val="9"/>
    <w:qFormat/>
    <w:rsid w:val="005C0307"/>
    <w:pPr>
      <w:pBdr>
        <w:bottom w:val="single" w:sz="24" w:space="1" w:color="DDDDDD" w:themeColor="accent1"/>
      </w:pBdr>
      <w:spacing w:after="360"/>
      <w:outlineLvl w:val="0"/>
    </w:pPr>
    <w:rPr>
      <w:rFonts w:ascii="Open Sans ExtraBold" w:eastAsiaTheme="majorEastAsia" w:hAnsi="Open Sans ExtraBold" w:cs="Open Sans ExtraBold"/>
      <w:bCs/>
      <w:color w:val="500000"/>
      <w:sz w:val="44"/>
      <w:szCs w:val="32"/>
    </w:rPr>
  </w:style>
  <w:style w:type="paragraph" w:styleId="Heading2">
    <w:name w:val="heading 2"/>
    <w:next w:val="Normal"/>
    <w:link w:val="Heading2Char"/>
    <w:uiPriority w:val="9"/>
    <w:qFormat/>
    <w:rsid w:val="00AD21C7"/>
    <w:pPr>
      <w:spacing w:after="0"/>
      <w:outlineLvl w:val="1"/>
    </w:pPr>
    <w:rPr>
      <w:rFonts w:ascii="Open Sans" w:hAnsi="Open Sans" w:cs="Open Sans"/>
      <w:b/>
      <w:color w:val="500000"/>
      <w:sz w:val="32"/>
      <w:szCs w:val="32"/>
    </w:rPr>
  </w:style>
  <w:style w:type="paragraph" w:styleId="Heading3">
    <w:name w:val="heading 3"/>
    <w:basedOn w:val="Normal"/>
    <w:next w:val="Normal"/>
    <w:link w:val="Heading3Char"/>
    <w:uiPriority w:val="9"/>
    <w:semiHidden/>
    <w:qFormat/>
    <w:rsid w:val="00AD21C7"/>
    <w:pPr>
      <w:keepNext/>
      <w:keepLines/>
      <w:spacing w:before="40" w:after="0"/>
      <w:outlineLvl w:val="2"/>
    </w:pPr>
    <w:rPr>
      <w:rFonts w:eastAsiaTheme="majorEastAsia"/>
      <w:b/>
      <w:bCs/>
      <w:iCs/>
      <w:color w:val="5F5F5F" w:themeColor="accent5"/>
      <w:sz w:val="28"/>
      <w:szCs w:val="28"/>
    </w:rPr>
  </w:style>
  <w:style w:type="paragraph" w:styleId="Heading4">
    <w:name w:val="heading 4"/>
    <w:basedOn w:val="Normal"/>
    <w:next w:val="Normal"/>
    <w:link w:val="Heading4Char"/>
    <w:uiPriority w:val="9"/>
    <w:semiHidden/>
    <w:qFormat/>
    <w:rsid w:val="00AD21C7"/>
    <w:pPr>
      <w:keepNext/>
      <w:keepLines/>
      <w:spacing w:before="40" w:after="0"/>
      <w:outlineLvl w:val="3"/>
    </w:pPr>
    <w:rPr>
      <w:rFonts w:eastAsiaTheme="majorEastAsia"/>
      <w:i/>
      <w:iCs/>
      <w:color w:val="500000"/>
      <w:sz w:val="26"/>
      <w:szCs w:val="26"/>
    </w:rPr>
  </w:style>
  <w:style w:type="paragraph" w:styleId="Heading5">
    <w:name w:val="heading 5"/>
    <w:basedOn w:val="Normal"/>
    <w:next w:val="Normal"/>
    <w:link w:val="Heading5Char"/>
    <w:uiPriority w:val="9"/>
    <w:semiHidden/>
    <w:qFormat/>
    <w:rsid w:val="001D0663"/>
    <w:pPr>
      <w:keepNext/>
      <w:keepLines/>
      <w:spacing w:before="40" w:after="0"/>
      <w:outlineLvl w:val="4"/>
    </w:pPr>
    <w:rPr>
      <w:rFonts w:eastAsiaTheme="majorEastAsia"/>
      <w:color w:val="3E3E3E"/>
      <w:sz w:val="24"/>
    </w:rPr>
  </w:style>
  <w:style w:type="paragraph" w:styleId="Heading6">
    <w:name w:val="heading 6"/>
    <w:basedOn w:val="Normal"/>
    <w:next w:val="Normal"/>
    <w:link w:val="Heading6Char"/>
    <w:uiPriority w:val="9"/>
    <w:semiHidden/>
    <w:qFormat/>
    <w:rsid w:val="00216FB1"/>
    <w:pPr>
      <w:keepNext/>
      <w:keepLines/>
      <w:spacing w:before="40" w:after="0"/>
      <w:outlineLvl w:val="5"/>
    </w:pPr>
    <w:rPr>
      <w:rFonts w:eastAsiaTheme="majorEastAsia"/>
      <w:color w:val="A5A5A5" w:themeColor="accent1" w:themeShade="BF"/>
      <w:sz w:val="24"/>
    </w:rPr>
  </w:style>
  <w:style w:type="paragraph" w:styleId="Heading7">
    <w:name w:val="heading 7"/>
    <w:basedOn w:val="Normal"/>
    <w:next w:val="Normal"/>
    <w:link w:val="Heading7Char"/>
    <w:uiPriority w:val="9"/>
    <w:semiHidden/>
    <w:qFormat/>
    <w:rsid w:val="00BF5A44"/>
    <w:pPr>
      <w:keepNext/>
      <w:keepLines/>
      <w:spacing w:before="40" w:after="0"/>
      <w:outlineLvl w:val="6"/>
    </w:pPr>
    <w:rPr>
      <w:rFonts w:eastAsiaTheme="majorEastAsia"/>
      <w:i/>
      <w:iCs/>
      <w:color w:val="6E6E6E" w:themeColor="accent1" w:themeShade="7F"/>
      <w:sz w:val="24"/>
    </w:rPr>
  </w:style>
  <w:style w:type="paragraph" w:styleId="Heading8">
    <w:name w:val="heading 8"/>
    <w:basedOn w:val="Normal"/>
    <w:next w:val="Normal"/>
    <w:link w:val="Heading8Char"/>
    <w:uiPriority w:val="9"/>
    <w:semiHidden/>
    <w:qFormat/>
    <w:rsid w:val="005C38FC"/>
    <w:pPr>
      <w:outlineLvl w:val="7"/>
    </w:pPr>
    <w:rPr>
      <w:color w:val="6E6E6E" w:themeColor="accent1" w:themeShade="80"/>
      <w:sz w:val="24"/>
      <w:szCs w:val="22"/>
    </w:rPr>
  </w:style>
  <w:style w:type="paragraph" w:styleId="Heading9">
    <w:name w:val="heading 9"/>
    <w:basedOn w:val="Normal"/>
    <w:next w:val="Normal"/>
    <w:link w:val="Heading9Char"/>
    <w:uiPriority w:val="9"/>
    <w:semiHidden/>
    <w:rsid w:val="001069A5"/>
    <w:pPr>
      <w:outlineLvl w:val="8"/>
    </w:pPr>
    <w:rPr>
      <w:i/>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0D40"/>
  </w:style>
  <w:style w:type="paragraph" w:styleId="Footer">
    <w:name w:val="footer"/>
    <w:basedOn w:val="Normal"/>
    <w:link w:val="FooterChar"/>
    <w:uiPriority w:val="99"/>
    <w:rsid w:val="00F8411A"/>
    <w:pPr>
      <w:pBdr>
        <w:top w:val="single" w:sz="8" w:space="1" w:color="DDDDDD"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aliases w:val="Title Page"/>
    <w:basedOn w:val="Normal"/>
    <w:next w:val="Normal"/>
    <w:link w:val="TitleChar"/>
    <w:autoRedefine/>
    <w:uiPriority w:val="10"/>
    <w:qFormat/>
    <w:rsid w:val="00D003D2"/>
    <w:pPr>
      <w:spacing w:after="0"/>
      <w:contextualSpacing/>
      <w:jc w:val="center"/>
    </w:pPr>
    <w:rPr>
      <w:rFonts w:ascii="Open Sans ExtraBold" w:eastAsiaTheme="majorEastAsia" w:hAnsi="Open Sans ExtraBold" w:cs="Open Sans ExtraBold"/>
      <w:b/>
      <w:bCs/>
      <w:color w:val="000000" w:themeColor="text1"/>
      <w:spacing w:val="-10"/>
      <w:kern w:val="28"/>
      <w:sz w:val="96"/>
      <w:szCs w:val="56"/>
    </w:rPr>
  </w:style>
  <w:style w:type="character" w:customStyle="1" w:styleId="TitleChar">
    <w:name w:val="Title Char"/>
    <w:aliases w:val="Title Page Char"/>
    <w:basedOn w:val="DefaultParagraphFont"/>
    <w:link w:val="Title"/>
    <w:uiPriority w:val="10"/>
    <w:rsid w:val="00D003D2"/>
    <w:rPr>
      <w:rFonts w:ascii="Open Sans ExtraBold" w:eastAsiaTheme="majorEastAsia" w:hAnsi="Open Sans ExtraBold" w:cs="Open Sans ExtraBold"/>
      <w:b/>
      <w:bCs/>
      <w:color w:val="000000" w:themeColor="text1"/>
      <w:spacing w:val="-10"/>
      <w:kern w:val="28"/>
      <w:sz w:val="96"/>
      <w:szCs w:val="56"/>
    </w:rPr>
  </w:style>
  <w:style w:type="paragraph" w:styleId="Subtitle">
    <w:name w:val="Subtitle"/>
    <w:basedOn w:val="Normal"/>
    <w:next w:val="Normal"/>
    <w:link w:val="SubtitleChar"/>
    <w:uiPriority w:val="11"/>
    <w:qFormat/>
    <w:rsid w:val="001343FD"/>
    <w:pPr>
      <w:spacing w:line="240" w:lineRule="auto"/>
      <w:jc w:val="right"/>
    </w:pPr>
    <w:rPr>
      <w:sz w:val="44"/>
      <w:szCs w:val="44"/>
    </w:rPr>
  </w:style>
  <w:style w:type="character" w:customStyle="1" w:styleId="SubtitleChar">
    <w:name w:val="Subtitle Char"/>
    <w:basedOn w:val="DefaultParagraphFont"/>
    <w:link w:val="Subtitle"/>
    <w:uiPriority w:val="11"/>
    <w:rsid w:val="001343FD"/>
    <w:rPr>
      <w:sz w:val="44"/>
      <w:szCs w:val="44"/>
    </w:rPr>
  </w:style>
  <w:style w:type="character" w:customStyle="1" w:styleId="Heading1Char">
    <w:name w:val="Heading 1 Char"/>
    <w:basedOn w:val="DefaultParagraphFont"/>
    <w:link w:val="Heading1"/>
    <w:uiPriority w:val="9"/>
    <w:rsid w:val="005C0307"/>
    <w:rPr>
      <w:rFonts w:ascii="Open Sans ExtraBold" w:eastAsiaTheme="majorEastAsia" w:hAnsi="Open Sans ExtraBold" w:cs="Open Sans ExtraBold"/>
      <w:bCs/>
      <w:color w:val="500000"/>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rPr>
  </w:style>
  <w:style w:type="character" w:customStyle="1" w:styleId="A3">
    <w:name w:val="A3"/>
    <w:uiPriority w:val="99"/>
    <w:semiHidden/>
    <w:rsid w:val="007B4D2A"/>
    <w:rPr>
      <w:rFonts w:ascii="Open Sans" w:hAnsi="Open Sans"/>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qFormat/>
    <w:rsid w:val="00E85863"/>
    <w:rPr>
      <w:rFonts w:asciiTheme="majorHAnsi" w:hAnsiTheme="majorHAnsi"/>
      <w:b/>
      <w:i w:val="0"/>
      <w:color w:val="B2B2B2"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AD21C7"/>
    <w:rPr>
      <w:rFonts w:ascii="Open Sans" w:hAnsi="Open Sans" w:cs="Open Sans"/>
      <w:b/>
      <w:color w:val="500000"/>
      <w:sz w:val="32"/>
      <w:szCs w:val="32"/>
    </w:rPr>
  </w:style>
  <w:style w:type="character" w:customStyle="1" w:styleId="Heading3Char">
    <w:name w:val="Heading 3 Char"/>
    <w:basedOn w:val="DefaultParagraphFont"/>
    <w:link w:val="Heading3"/>
    <w:uiPriority w:val="9"/>
    <w:semiHidden/>
    <w:rsid w:val="00AD21C7"/>
    <w:rPr>
      <w:rFonts w:ascii="Open Sans" w:eastAsiaTheme="majorEastAsia" w:hAnsi="Open Sans" w:cs="Open Sans"/>
      <w:b/>
      <w:bCs/>
      <w:iCs/>
      <w:color w:val="5F5F5F" w:themeColor="accent5"/>
      <w:sz w:val="28"/>
      <w:szCs w:val="28"/>
    </w:rPr>
  </w:style>
  <w:style w:type="character" w:customStyle="1" w:styleId="Heading4Char">
    <w:name w:val="Heading 4 Char"/>
    <w:basedOn w:val="DefaultParagraphFont"/>
    <w:link w:val="Heading4"/>
    <w:uiPriority w:val="9"/>
    <w:semiHidden/>
    <w:rsid w:val="00AD21C7"/>
    <w:rPr>
      <w:rFonts w:ascii="Open Sans" w:eastAsiaTheme="majorEastAsia" w:hAnsi="Open Sans" w:cs="Open Sans"/>
      <w:i/>
      <w:iCs/>
      <w:color w:val="500000"/>
      <w:sz w:val="26"/>
      <w:szCs w:val="26"/>
    </w:rPr>
  </w:style>
  <w:style w:type="paragraph" w:styleId="TOCHeading">
    <w:name w:val="TOC Heading"/>
    <w:basedOn w:val="Normal"/>
    <w:next w:val="Normal"/>
    <w:uiPriority w:val="39"/>
    <w:qFormat/>
    <w:rsid w:val="00D94688"/>
    <w:pPr>
      <w:pBdr>
        <w:bottom w:val="single" w:sz="24" w:space="1" w:color="DDDDDD" w:themeColor="accent1"/>
      </w:pBdr>
    </w:pPr>
    <w:rPr>
      <w:rFonts w:asciiTheme="majorHAnsi" w:hAnsiTheme="majorHAnsi"/>
      <w:b/>
      <w:color w:val="B2B2B2" w:themeColor="accent2"/>
      <w:sz w:val="40"/>
    </w:rPr>
  </w:style>
  <w:style w:type="paragraph" w:styleId="TOC1">
    <w:name w:val="toc 1"/>
    <w:basedOn w:val="Normal"/>
    <w:next w:val="Normal"/>
    <w:autoRedefine/>
    <w:uiPriority w:val="39"/>
    <w:rsid w:val="003C70B8"/>
    <w:pPr>
      <w:spacing w:after="100"/>
    </w:pPr>
  </w:style>
  <w:style w:type="character" w:styleId="Hyperlink">
    <w:name w:val="Hyperlink"/>
    <w:basedOn w:val="DefaultParagraphFont"/>
    <w:uiPriority w:val="99"/>
    <w:unhideWhenUsed/>
    <w:qFormat/>
    <w:rsid w:val="00951EBD"/>
    <w:rPr>
      <w:color w:val="0070C0"/>
      <w:u w:val="single"/>
    </w:rPr>
  </w:style>
  <w:style w:type="paragraph" w:styleId="TOC2">
    <w:name w:val="toc 2"/>
    <w:basedOn w:val="Normal"/>
    <w:next w:val="Normal"/>
    <w:autoRedefine/>
    <w:uiPriority w:val="39"/>
    <w:rsid w:val="003C70B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rPr>
  </w:style>
  <w:style w:type="character" w:customStyle="1" w:styleId="Heading5Char">
    <w:name w:val="Heading 5 Char"/>
    <w:basedOn w:val="DefaultParagraphFont"/>
    <w:link w:val="Heading5"/>
    <w:uiPriority w:val="9"/>
    <w:semiHidden/>
    <w:rsid w:val="001D0663"/>
    <w:rPr>
      <w:rFonts w:ascii="Open Sans" w:eastAsiaTheme="majorEastAsia" w:hAnsi="Open Sans" w:cs="Open Sans"/>
      <w:color w:val="3E3E3E"/>
    </w:rPr>
  </w:style>
  <w:style w:type="paragraph" w:styleId="ListBullet">
    <w:name w:val="List Bullet"/>
    <w:basedOn w:val="Normal"/>
    <w:uiPriority w:val="99"/>
    <w:rsid w:val="00EA5D04"/>
    <w:pPr>
      <w:numPr>
        <w:numId w:val="1"/>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EA5D04"/>
    <w:pPr>
      <w:numPr>
        <w:ilvl w:val="1"/>
        <w:numId w:val="1"/>
      </w:numPr>
      <w:ind w:left="936"/>
    </w:pPr>
  </w:style>
  <w:style w:type="paragraph" w:customStyle="1" w:styleId="Graphheading1">
    <w:name w:val="Graph heading 1"/>
    <w:basedOn w:val="Normal"/>
    <w:qFormat/>
    <w:rsid w:val="008965F6"/>
    <w:pPr>
      <w:spacing w:after="60" w:line="240" w:lineRule="auto"/>
    </w:pPr>
    <w:rPr>
      <w:b/>
      <w:color w:val="969696" w:themeColor="accent3"/>
    </w:rPr>
  </w:style>
  <w:style w:type="paragraph" w:customStyle="1" w:styleId="Graphheading2">
    <w:name w:val="Graph heading 2"/>
    <w:basedOn w:val="Normal"/>
    <w:qFormat/>
    <w:rsid w:val="00664450"/>
    <w:pPr>
      <w:spacing w:after="60" w:line="240" w:lineRule="auto"/>
    </w:pPr>
    <w:rPr>
      <w:b/>
      <w:color w:val="5F5F5F" w:themeColor="accent5"/>
    </w:rPr>
  </w:style>
  <w:style w:type="paragraph" w:customStyle="1" w:styleId="Graphheading3">
    <w:name w:val="Graph heading 3"/>
    <w:basedOn w:val="Normal"/>
    <w:qFormat/>
    <w:rsid w:val="00664450"/>
    <w:pPr>
      <w:spacing w:after="60" w:line="240" w:lineRule="auto"/>
    </w:pPr>
    <w:rPr>
      <w:b/>
      <w:color w:val="500000" w:themeColor="accent6"/>
    </w:rPr>
  </w:style>
  <w:style w:type="paragraph" w:customStyle="1" w:styleId="Graphheading4">
    <w:name w:val="Graph heading 4"/>
    <w:basedOn w:val="Normal"/>
    <w:qFormat/>
    <w:rsid w:val="008965F6"/>
    <w:pPr>
      <w:spacing w:after="60" w:line="240" w:lineRule="auto"/>
    </w:pPr>
    <w:rPr>
      <w:b/>
      <w:color w:val="B2B2B2" w:themeColor="accent2"/>
    </w:rPr>
  </w:style>
  <w:style w:type="character" w:styleId="FollowedHyperlink">
    <w:name w:val="FollowedHyperlink"/>
    <w:basedOn w:val="DefaultParagraphFont"/>
    <w:uiPriority w:val="99"/>
    <w:semiHidden/>
    <w:unhideWhenUsed/>
    <w:rsid w:val="002C53C4"/>
    <w:rPr>
      <w:color w:val="500000"/>
      <w:u w:val="single"/>
    </w:rPr>
  </w:style>
  <w:style w:type="paragraph" w:styleId="List">
    <w:name w:val="List"/>
    <w:basedOn w:val="Normal"/>
    <w:uiPriority w:val="99"/>
    <w:unhideWhenUsed/>
    <w:rsid w:val="006233C0"/>
    <w:pPr>
      <w:ind w:left="360" w:hanging="360"/>
      <w:contextualSpacing/>
    </w:pPr>
  </w:style>
  <w:style w:type="table" w:styleId="GridTable4">
    <w:name w:val="Grid Table 4"/>
    <w:basedOn w:val="TableNormal"/>
    <w:uiPriority w:val="49"/>
    <w:rsid w:val="004616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Text">
    <w:name w:val="Table Text"/>
    <w:basedOn w:val="ListNumber5"/>
    <w:next w:val="Normal"/>
    <w:qFormat/>
    <w:rsid w:val="008C10C6"/>
    <w:pPr>
      <w:numPr>
        <w:numId w:val="0"/>
      </w:numPr>
      <w:spacing w:before="0" w:after="0" w:line="240" w:lineRule="auto"/>
    </w:pPr>
    <w:rPr>
      <w:color w:val="5F5F5F" w:themeColor="accent5"/>
      <w:sz w:val="20"/>
      <w:szCs w:val="20"/>
    </w:rPr>
  </w:style>
  <w:style w:type="paragraph" w:customStyle="1" w:styleId="TableHeading">
    <w:name w:val="Table Heading"/>
    <w:basedOn w:val="ListNumber5"/>
    <w:next w:val="TableText"/>
    <w:qFormat/>
    <w:rsid w:val="00E419D0"/>
    <w:pPr>
      <w:numPr>
        <w:numId w:val="0"/>
      </w:numPr>
      <w:spacing w:before="0" w:after="0" w:line="240" w:lineRule="auto"/>
      <w:jc w:val="center"/>
    </w:pPr>
    <w:rPr>
      <w:b/>
      <w:bCs/>
      <w:color w:val="FFFFFF" w:themeColor="background1"/>
      <w:szCs w:val="22"/>
    </w:rPr>
  </w:style>
  <w:style w:type="paragraph" w:styleId="ListNumber2">
    <w:name w:val="List Number 2"/>
    <w:basedOn w:val="Normal"/>
    <w:uiPriority w:val="99"/>
    <w:semiHidden/>
    <w:rsid w:val="00EA5D04"/>
    <w:pPr>
      <w:numPr>
        <w:ilvl w:val="1"/>
        <w:numId w:val="4"/>
      </w:numPr>
      <w:spacing w:before="0" w:after="200" w:line="276" w:lineRule="auto"/>
      <w:ind w:left="936"/>
    </w:pPr>
  </w:style>
  <w:style w:type="paragraph" w:customStyle="1" w:styleId="Tabletotal">
    <w:name w:val="Table total"/>
    <w:basedOn w:val="Normal"/>
    <w:next w:val="Normal"/>
    <w:link w:val="TabletotalChar"/>
    <w:qFormat/>
    <w:rsid w:val="004211AF"/>
    <w:pPr>
      <w:spacing w:before="0" w:after="0" w:line="256" w:lineRule="auto"/>
    </w:pPr>
    <w:rPr>
      <w:rFonts w:ascii="Arial" w:eastAsia="Arial" w:hAnsi="Arial" w:cs="Times New Roman"/>
      <w:b/>
      <w:bCs/>
      <w:caps/>
      <w:color w:val="404040" w:themeColor="text1" w:themeTint="BF"/>
      <w:sz w:val="18"/>
      <w:szCs w:val="22"/>
    </w:rPr>
  </w:style>
  <w:style w:type="paragraph" w:styleId="ListNumber3">
    <w:name w:val="List Number 3"/>
    <w:basedOn w:val="Normal"/>
    <w:uiPriority w:val="99"/>
    <w:unhideWhenUsed/>
    <w:rsid w:val="00FD6E1C"/>
    <w:pPr>
      <w:numPr>
        <w:numId w:val="15"/>
      </w:numPr>
      <w:spacing w:before="0" w:after="200" w:line="276" w:lineRule="auto"/>
    </w:pPr>
  </w:style>
  <w:style w:type="character" w:customStyle="1" w:styleId="TabletotalChar">
    <w:name w:val="Table total Char"/>
    <w:basedOn w:val="DefaultParagraphFont"/>
    <w:link w:val="Tabletotal"/>
    <w:rsid w:val="004211AF"/>
    <w:rPr>
      <w:rFonts w:ascii="Arial" w:eastAsia="Arial" w:hAnsi="Arial" w:cs="Times New Roman"/>
      <w:b/>
      <w:bCs/>
      <w:caps/>
      <w:color w:val="404040" w:themeColor="text1" w:themeTint="BF"/>
      <w:sz w:val="18"/>
      <w:szCs w:val="22"/>
    </w:rPr>
  </w:style>
  <w:style w:type="paragraph" w:customStyle="1" w:styleId="TableTextright">
    <w:name w:val="Table Text right"/>
    <w:basedOn w:val="Normal"/>
    <w:next w:val="Normal"/>
    <w:link w:val="TableTextrightChar"/>
    <w:qFormat/>
    <w:rsid w:val="00810DF6"/>
    <w:pPr>
      <w:spacing w:before="0" w:after="0" w:line="240" w:lineRule="auto"/>
      <w:jc w:val="right"/>
    </w:pPr>
    <w:rPr>
      <w:sz w:val="18"/>
    </w:rPr>
  </w:style>
  <w:style w:type="paragraph" w:customStyle="1" w:styleId="TableTextbold">
    <w:name w:val="Table Text bold"/>
    <w:basedOn w:val="Normal"/>
    <w:next w:val="Normal"/>
    <w:link w:val="TableTextboldChar"/>
    <w:qFormat/>
    <w:rsid w:val="009C018F"/>
    <w:pPr>
      <w:spacing w:before="0" w:after="0" w:line="240" w:lineRule="auto"/>
    </w:pPr>
    <w:rPr>
      <w:b/>
      <w:sz w:val="18"/>
    </w:rPr>
  </w:style>
  <w:style w:type="character" w:customStyle="1" w:styleId="TableTextrightChar">
    <w:name w:val="Table Text right Char"/>
    <w:basedOn w:val="DefaultParagraphFont"/>
    <w:link w:val="TableTextright"/>
    <w:rsid w:val="00810DF6"/>
    <w:rPr>
      <w:sz w:val="18"/>
    </w:rPr>
  </w:style>
  <w:style w:type="character" w:customStyle="1" w:styleId="TableTextboldChar">
    <w:name w:val="Table Text bold Char"/>
    <w:basedOn w:val="DefaultParagraphFont"/>
    <w:link w:val="TableTextbold"/>
    <w:rsid w:val="009C018F"/>
    <w:rPr>
      <w:b/>
      <w:sz w:val="18"/>
    </w:rPr>
  </w:style>
  <w:style w:type="paragraph" w:styleId="Revision">
    <w:name w:val="Revision"/>
    <w:hidden/>
    <w:uiPriority w:val="99"/>
    <w:semiHidden/>
    <w:rsid w:val="00F514D1"/>
    <w:pPr>
      <w:spacing w:before="0" w:after="0" w:line="240" w:lineRule="auto"/>
    </w:pPr>
  </w:style>
  <w:style w:type="character" w:styleId="PageNumber">
    <w:name w:val="page number"/>
    <w:basedOn w:val="DefaultParagraphFont"/>
    <w:uiPriority w:val="99"/>
    <w:semiHidden/>
    <w:unhideWhenUsed/>
    <w:rsid w:val="00FF34EA"/>
  </w:style>
  <w:style w:type="numbering" w:customStyle="1" w:styleId="CurrentList1">
    <w:name w:val="Current List1"/>
    <w:uiPriority w:val="99"/>
    <w:rsid w:val="0085664E"/>
    <w:pPr>
      <w:numPr>
        <w:numId w:val="5"/>
      </w:numPr>
    </w:pPr>
  </w:style>
  <w:style w:type="numbering" w:customStyle="1" w:styleId="CurrentList2">
    <w:name w:val="Current List2"/>
    <w:uiPriority w:val="99"/>
    <w:rsid w:val="0085664E"/>
    <w:pPr>
      <w:numPr>
        <w:numId w:val="6"/>
      </w:numPr>
    </w:pPr>
  </w:style>
  <w:style w:type="character" w:customStyle="1" w:styleId="Heading6Char">
    <w:name w:val="Heading 6 Char"/>
    <w:basedOn w:val="DefaultParagraphFont"/>
    <w:link w:val="Heading6"/>
    <w:uiPriority w:val="9"/>
    <w:semiHidden/>
    <w:rsid w:val="00216FB1"/>
    <w:rPr>
      <w:rFonts w:ascii="Open Sans" w:eastAsiaTheme="majorEastAsia" w:hAnsi="Open Sans" w:cs="Open Sans"/>
      <w:color w:val="A5A5A5" w:themeColor="accent1" w:themeShade="BF"/>
    </w:rPr>
  </w:style>
  <w:style w:type="character" w:customStyle="1" w:styleId="Heading7Char">
    <w:name w:val="Heading 7 Char"/>
    <w:basedOn w:val="DefaultParagraphFont"/>
    <w:link w:val="Heading7"/>
    <w:uiPriority w:val="9"/>
    <w:semiHidden/>
    <w:rsid w:val="00BF5A44"/>
    <w:rPr>
      <w:rFonts w:ascii="Open Sans" w:eastAsiaTheme="majorEastAsia" w:hAnsi="Open Sans" w:cs="Open Sans"/>
      <w:i/>
      <w:iCs/>
      <w:color w:val="6E6E6E" w:themeColor="accent1" w:themeShade="7F"/>
    </w:rPr>
  </w:style>
  <w:style w:type="character" w:customStyle="1" w:styleId="Heading8Char">
    <w:name w:val="Heading 8 Char"/>
    <w:basedOn w:val="DefaultParagraphFont"/>
    <w:link w:val="Heading8"/>
    <w:uiPriority w:val="9"/>
    <w:semiHidden/>
    <w:rsid w:val="005C38FC"/>
    <w:rPr>
      <w:rFonts w:ascii="Open Sans" w:hAnsi="Open Sans" w:cs="Open Sans"/>
      <w:color w:val="6E6E6E" w:themeColor="accent1" w:themeShade="80"/>
      <w:szCs w:val="22"/>
    </w:rPr>
  </w:style>
  <w:style w:type="character" w:customStyle="1" w:styleId="Heading9Char">
    <w:name w:val="Heading 9 Char"/>
    <w:basedOn w:val="DefaultParagraphFont"/>
    <w:link w:val="Heading9"/>
    <w:uiPriority w:val="9"/>
    <w:semiHidden/>
    <w:rsid w:val="001069A5"/>
    <w:rPr>
      <w:rFonts w:ascii="Open Sans" w:hAnsi="Open Sans" w:cs="Open Sans"/>
      <w:i/>
      <w:iCs/>
      <w:szCs w:val="22"/>
    </w:rPr>
  </w:style>
  <w:style w:type="character" w:styleId="HTMLAcronym">
    <w:name w:val="HTML Acronym"/>
    <w:basedOn w:val="DefaultParagraphFont"/>
    <w:uiPriority w:val="99"/>
    <w:unhideWhenUsed/>
    <w:rsid w:val="00B40D40"/>
  </w:style>
  <w:style w:type="numbering" w:customStyle="1" w:styleId="CurrentList3">
    <w:name w:val="Current List3"/>
    <w:uiPriority w:val="99"/>
    <w:rsid w:val="00956A86"/>
    <w:pPr>
      <w:numPr>
        <w:numId w:val="8"/>
      </w:numPr>
    </w:pPr>
  </w:style>
  <w:style w:type="paragraph" w:styleId="ListNumber4">
    <w:name w:val="List Number 4"/>
    <w:uiPriority w:val="99"/>
    <w:unhideWhenUsed/>
    <w:rsid w:val="00840881"/>
    <w:pPr>
      <w:numPr>
        <w:numId w:val="24"/>
      </w:numPr>
    </w:pPr>
    <w:rPr>
      <w:rFonts w:ascii="Open Sans" w:hAnsi="Open Sans" w:cs="Open Sans"/>
      <w:sz w:val="22"/>
    </w:rPr>
  </w:style>
  <w:style w:type="numbering" w:customStyle="1" w:styleId="CurrentList4">
    <w:name w:val="Current List4"/>
    <w:uiPriority w:val="99"/>
    <w:rsid w:val="00956A86"/>
    <w:pPr>
      <w:numPr>
        <w:numId w:val="9"/>
      </w:numPr>
    </w:pPr>
  </w:style>
  <w:style w:type="paragraph" w:styleId="ListNumber5">
    <w:name w:val="List Number 5"/>
    <w:uiPriority w:val="99"/>
    <w:unhideWhenUsed/>
    <w:rsid w:val="00840881"/>
    <w:pPr>
      <w:numPr>
        <w:numId w:val="25"/>
      </w:numPr>
    </w:pPr>
    <w:rPr>
      <w:rFonts w:ascii="Open Sans" w:hAnsi="Open Sans" w:cs="Open Sans"/>
      <w:sz w:val="22"/>
    </w:rPr>
  </w:style>
  <w:style w:type="paragraph" w:styleId="ListBullet3">
    <w:name w:val="List Bullet 3"/>
    <w:basedOn w:val="Normal"/>
    <w:uiPriority w:val="99"/>
    <w:unhideWhenUsed/>
    <w:rsid w:val="00FD6E1C"/>
    <w:pPr>
      <w:numPr>
        <w:ilvl w:val="2"/>
        <w:numId w:val="1"/>
      </w:numPr>
      <w:spacing w:before="0" w:after="200" w:line="276" w:lineRule="auto"/>
      <w:ind w:left="1512"/>
    </w:pPr>
  </w:style>
  <w:style w:type="paragraph" w:styleId="ListBullet4">
    <w:name w:val="List Bullet 4"/>
    <w:basedOn w:val="ListNumber4"/>
    <w:uiPriority w:val="99"/>
    <w:unhideWhenUsed/>
    <w:rsid w:val="00C57532"/>
    <w:pPr>
      <w:numPr>
        <w:numId w:val="21"/>
      </w:numPr>
    </w:pPr>
  </w:style>
  <w:style w:type="paragraph" w:styleId="ListBullet5">
    <w:name w:val="List Bullet 5"/>
    <w:basedOn w:val="Normal"/>
    <w:uiPriority w:val="99"/>
    <w:unhideWhenUsed/>
    <w:rsid w:val="00EA5D04"/>
    <w:pPr>
      <w:numPr>
        <w:numId w:val="2"/>
      </w:numPr>
      <w:ind w:left="2664"/>
      <w:contextualSpacing/>
    </w:pPr>
  </w:style>
  <w:style w:type="paragraph" w:styleId="List2">
    <w:name w:val="List 2"/>
    <w:basedOn w:val="Normal"/>
    <w:uiPriority w:val="99"/>
    <w:unhideWhenUsed/>
    <w:rsid w:val="006233C0"/>
    <w:pPr>
      <w:ind w:left="720" w:hanging="360"/>
      <w:contextualSpacing/>
    </w:pPr>
  </w:style>
  <w:style w:type="paragraph" w:styleId="TOC3">
    <w:name w:val="toc 3"/>
    <w:basedOn w:val="Normal"/>
    <w:next w:val="Normal"/>
    <w:autoRedefine/>
    <w:uiPriority w:val="39"/>
    <w:rsid w:val="003C70B8"/>
    <w:pPr>
      <w:spacing w:after="100"/>
      <w:ind w:left="480"/>
    </w:pPr>
  </w:style>
  <w:style w:type="paragraph" w:styleId="ListNumber">
    <w:name w:val="List Number"/>
    <w:basedOn w:val="Normal"/>
    <w:uiPriority w:val="99"/>
    <w:rsid w:val="00B543E0"/>
    <w:pPr>
      <w:numPr>
        <w:numId w:val="3"/>
      </w:numPr>
      <w:spacing w:before="0" w:after="200" w:line="276" w:lineRule="auto"/>
    </w:pPr>
  </w:style>
  <w:style w:type="paragraph" w:styleId="BodyTextIndent">
    <w:name w:val="Body Text Indent"/>
    <w:basedOn w:val="Normal"/>
    <w:link w:val="BodyTextIndentChar"/>
    <w:uiPriority w:val="99"/>
    <w:unhideWhenUsed/>
    <w:rsid w:val="00A40DEC"/>
    <w:pPr>
      <w:ind w:left="360"/>
    </w:pPr>
  </w:style>
  <w:style w:type="character" w:customStyle="1" w:styleId="BodyTextIndentChar">
    <w:name w:val="Body Text Indent Char"/>
    <w:basedOn w:val="DefaultParagraphFont"/>
    <w:link w:val="BodyTextIndent"/>
    <w:uiPriority w:val="99"/>
    <w:rsid w:val="00A40DEC"/>
  </w:style>
  <w:style w:type="paragraph" w:customStyle="1" w:styleId="DocTitle-Subtitle">
    <w:name w:val="Doc Title - Subtitle"/>
    <w:qFormat/>
    <w:rsid w:val="006E1F76"/>
    <w:pPr>
      <w:spacing w:before="240" w:after="0" w:line="240" w:lineRule="auto"/>
    </w:pPr>
    <w:rPr>
      <w:rFonts w:ascii="Open Sans ExtraBold" w:eastAsiaTheme="majorEastAsia" w:hAnsi="Open Sans ExtraBold" w:cs="Open Sans ExtraBold"/>
      <w:b/>
      <w:bCs/>
      <w:color w:val="500000"/>
      <w:sz w:val="44"/>
      <w:szCs w:val="32"/>
    </w:rPr>
  </w:style>
  <w:style w:type="paragraph" w:styleId="TOAHeading">
    <w:name w:val="toa heading"/>
    <w:basedOn w:val="Normal"/>
    <w:next w:val="Normal"/>
    <w:uiPriority w:val="99"/>
    <w:semiHidden/>
    <w:unhideWhenUsed/>
    <w:rsid w:val="00F774BA"/>
    <w:rPr>
      <w:rFonts w:asciiTheme="majorHAnsi" w:eastAsiaTheme="majorEastAsia" w:hAnsiTheme="majorHAnsi" w:cstheme="majorBidi"/>
      <w:b/>
      <w:bCs/>
    </w:rPr>
  </w:style>
  <w:style w:type="paragraph" w:customStyle="1" w:styleId="TableTitle">
    <w:name w:val="Table Title"/>
    <w:basedOn w:val="Heading2"/>
    <w:qFormat/>
    <w:rsid w:val="0065041A"/>
    <w:rPr>
      <w:color w:val="000000" w:themeColor="text1"/>
      <w:szCs w:val="36"/>
    </w:rPr>
  </w:style>
  <w:style w:type="paragraph" w:customStyle="1" w:styleId="DocSubtitle">
    <w:name w:val="Doc Subtitle"/>
    <w:qFormat/>
    <w:rsid w:val="001A7DDF"/>
    <w:pPr>
      <w:pBdr>
        <w:bottom w:val="single" w:sz="24" w:space="1" w:color="DDDDDD" w:themeColor="accent1"/>
      </w:pBdr>
      <w:spacing w:before="0" w:after="240"/>
    </w:pPr>
    <w:rPr>
      <w:rFonts w:ascii="Open Sans" w:hAnsi="Open Sans" w:cs="Open Sans"/>
      <w:b/>
      <w:color w:val="000000" w:themeColor="text1"/>
      <w:sz w:val="32"/>
      <w:szCs w:val="28"/>
    </w:rPr>
  </w:style>
  <w:style w:type="paragraph" w:styleId="BodyText2">
    <w:name w:val="Body Text 2"/>
    <w:basedOn w:val="Normal"/>
    <w:link w:val="BodyText2Char"/>
    <w:uiPriority w:val="99"/>
    <w:unhideWhenUsed/>
    <w:rsid w:val="005B7B98"/>
    <w:pPr>
      <w:spacing w:line="480" w:lineRule="auto"/>
    </w:pPr>
  </w:style>
  <w:style w:type="character" w:customStyle="1" w:styleId="BodyText2Char">
    <w:name w:val="Body Text 2 Char"/>
    <w:basedOn w:val="DefaultParagraphFont"/>
    <w:link w:val="BodyText2"/>
    <w:uiPriority w:val="99"/>
    <w:rsid w:val="005B7B98"/>
  </w:style>
  <w:style w:type="paragraph" w:styleId="Index8">
    <w:name w:val="index 8"/>
    <w:basedOn w:val="Normal"/>
    <w:next w:val="Normal"/>
    <w:autoRedefine/>
    <w:uiPriority w:val="99"/>
    <w:semiHidden/>
    <w:unhideWhenUsed/>
    <w:rsid w:val="00BF5A44"/>
    <w:pPr>
      <w:spacing w:before="0" w:after="0" w:line="240" w:lineRule="auto"/>
      <w:ind w:left="1760" w:hanging="220"/>
    </w:pPr>
    <w:rPr>
      <w:sz w:val="24"/>
    </w:rPr>
  </w:style>
  <w:style w:type="character" w:styleId="UnresolvedMention">
    <w:name w:val="Unresolved Mention"/>
    <w:basedOn w:val="DefaultParagraphFont"/>
    <w:uiPriority w:val="99"/>
    <w:semiHidden/>
    <w:unhideWhenUsed/>
    <w:rsid w:val="00CF0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760">
      <w:bodyDiv w:val="1"/>
      <w:marLeft w:val="0"/>
      <w:marRight w:val="0"/>
      <w:marTop w:val="0"/>
      <w:marBottom w:val="0"/>
      <w:divBdr>
        <w:top w:val="none" w:sz="0" w:space="0" w:color="auto"/>
        <w:left w:val="none" w:sz="0" w:space="0" w:color="auto"/>
        <w:bottom w:val="none" w:sz="0" w:space="0" w:color="auto"/>
        <w:right w:val="none" w:sz="0" w:space="0" w:color="auto"/>
      </w:divBdr>
    </w:div>
    <w:div w:id="104278417">
      <w:bodyDiv w:val="1"/>
      <w:marLeft w:val="0"/>
      <w:marRight w:val="0"/>
      <w:marTop w:val="0"/>
      <w:marBottom w:val="0"/>
      <w:divBdr>
        <w:top w:val="none" w:sz="0" w:space="0" w:color="auto"/>
        <w:left w:val="none" w:sz="0" w:space="0" w:color="auto"/>
        <w:bottom w:val="none" w:sz="0" w:space="0" w:color="auto"/>
        <w:right w:val="none" w:sz="0" w:space="0" w:color="auto"/>
      </w:divBdr>
    </w:div>
    <w:div w:id="269244691">
      <w:bodyDiv w:val="1"/>
      <w:marLeft w:val="0"/>
      <w:marRight w:val="0"/>
      <w:marTop w:val="0"/>
      <w:marBottom w:val="0"/>
      <w:divBdr>
        <w:top w:val="none" w:sz="0" w:space="0" w:color="auto"/>
        <w:left w:val="none" w:sz="0" w:space="0" w:color="auto"/>
        <w:bottom w:val="none" w:sz="0" w:space="0" w:color="auto"/>
        <w:right w:val="none" w:sz="0" w:space="0" w:color="auto"/>
      </w:divBdr>
    </w:div>
    <w:div w:id="449127054">
      <w:bodyDiv w:val="1"/>
      <w:marLeft w:val="0"/>
      <w:marRight w:val="0"/>
      <w:marTop w:val="0"/>
      <w:marBottom w:val="0"/>
      <w:divBdr>
        <w:top w:val="none" w:sz="0" w:space="0" w:color="auto"/>
        <w:left w:val="none" w:sz="0" w:space="0" w:color="auto"/>
        <w:bottom w:val="none" w:sz="0" w:space="0" w:color="auto"/>
        <w:right w:val="none" w:sz="0" w:space="0" w:color="auto"/>
      </w:divBdr>
    </w:div>
    <w:div w:id="713850311">
      <w:bodyDiv w:val="1"/>
      <w:marLeft w:val="0"/>
      <w:marRight w:val="0"/>
      <w:marTop w:val="0"/>
      <w:marBottom w:val="0"/>
      <w:divBdr>
        <w:top w:val="none" w:sz="0" w:space="0" w:color="auto"/>
        <w:left w:val="none" w:sz="0" w:space="0" w:color="auto"/>
        <w:bottom w:val="none" w:sz="0" w:space="0" w:color="auto"/>
        <w:right w:val="none" w:sz="0" w:space="0" w:color="auto"/>
      </w:divBdr>
    </w:div>
    <w:div w:id="941648768">
      <w:bodyDiv w:val="1"/>
      <w:marLeft w:val="0"/>
      <w:marRight w:val="0"/>
      <w:marTop w:val="0"/>
      <w:marBottom w:val="0"/>
      <w:divBdr>
        <w:top w:val="none" w:sz="0" w:space="0" w:color="auto"/>
        <w:left w:val="none" w:sz="0" w:space="0" w:color="auto"/>
        <w:bottom w:val="none" w:sz="0" w:space="0" w:color="auto"/>
        <w:right w:val="none" w:sz="0" w:space="0" w:color="auto"/>
      </w:divBdr>
    </w:div>
    <w:div w:id="1123617916">
      <w:bodyDiv w:val="1"/>
      <w:marLeft w:val="0"/>
      <w:marRight w:val="0"/>
      <w:marTop w:val="0"/>
      <w:marBottom w:val="0"/>
      <w:divBdr>
        <w:top w:val="none" w:sz="0" w:space="0" w:color="auto"/>
        <w:left w:val="none" w:sz="0" w:space="0" w:color="auto"/>
        <w:bottom w:val="none" w:sz="0" w:space="0" w:color="auto"/>
        <w:right w:val="none" w:sz="0" w:space="0" w:color="auto"/>
      </w:divBdr>
    </w:div>
    <w:div w:id="1337271595">
      <w:bodyDiv w:val="1"/>
      <w:marLeft w:val="0"/>
      <w:marRight w:val="0"/>
      <w:marTop w:val="0"/>
      <w:marBottom w:val="0"/>
      <w:divBdr>
        <w:top w:val="none" w:sz="0" w:space="0" w:color="auto"/>
        <w:left w:val="none" w:sz="0" w:space="0" w:color="auto"/>
        <w:bottom w:val="none" w:sz="0" w:space="0" w:color="auto"/>
        <w:right w:val="none" w:sz="0" w:space="0" w:color="auto"/>
      </w:divBdr>
    </w:div>
    <w:div w:id="1524054599">
      <w:bodyDiv w:val="1"/>
      <w:marLeft w:val="0"/>
      <w:marRight w:val="0"/>
      <w:marTop w:val="0"/>
      <w:marBottom w:val="0"/>
      <w:divBdr>
        <w:top w:val="none" w:sz="0" w:space="0" w:color="auto"/>
        <w:left w:val="none" w:sz="0" w:space="0" w:color="auto"/>
        <w:bottom w:val="none" w:sz="0" w:space="0" w:color="auto"/>
        <w:right w:val="none" w:sz="0" w:space="0" w:color="auto"/>
      </w:divBdr>
    </w:div>
    <w:div w:id="1599676958">
      <w:bodyDiv w:val="1"/>
      <w:marLeft w:val="0"/>
      <w:marRight w:val="0"/>
      <w:marTop w:val="0"/>
      <w:marBottom w:val="0"/>
      <w:divBdr>
        <w:top w:val="none" w:sz="0" w:space="0" w:color="auto"/>
        <w:left w:val="none" w:sz="0" w:space="0" w:color="auto"/>
        <w:bottom w:val="none" w:sz="0" w:space="0" w:color="auto"/>
        <w:right w:val="none" w:sz="0" w:space="0" w:color="auto"/>
      </w:divBdr>
    </w:div>
    <w:div w:id="1614703666">
      <w:bodyDiv w:val="1"/>
      <w:marLeft w:val="0"/>
      <w:marRight w:val="0"/>
      <w:marTop w:val="0"/>
      <w:marBottom w:val="0"/>
      <w:divBdr>
        <w:top w:val="none" w:sz="0" w:space="0" w:color="auto"/>
        <w:left w:val="none" w:sz="0" w:space="0" w:color="auto"/>
        <w:bottom w:val="none" w:sz="0" w:space="0" w:color="auto"/>
        <w:right w:val="none" w:sz="0" w:space="0" w:color="auto"/>
      </w:divBdr>
    </w:div>
    <w:div w:id="17061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yperlink.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Mays TLI Document Templa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500000"/>
      </a:accent6>
      <a:hlink>
        <a:srgbClr val="0070C0"/>
      </a:hlink>
      <a:folHlink>
        <a:srgbClr val="500000"/>
      </a:folHlink>
    </a:clrScheme>
    <a:fontScheme name="Mays TLI Document Template">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804E4F-7F2B-6C43-A41B-FC711F487EB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8a0890-c249-4c8c-9cd9-4c8a994c0a28">
      <Terms xmlns="http://schemas.microsoft.com/office/infopath/2007/PartnerControls"/>
    </lcf76f155ced4ddcb4097134ff3c332f>
    <TaxCatchAll xmlns="5267a219-b8fc-4d25-9a3f-6884bb959e75" xsi:nil="true"/>
    <date_x002f_time xmlns="f08a0890-c249-4c8c-9cd9-4c8a994c0a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7A81189B3FB4E83E1F8DACB14D5FB" ma:contentTypeVersion="17" ma:contentTypeDescription="Create a new document." ma:contentTypeScope="" ma:versionID="2e6528c785d5a7dd18d27194d5983738">
  <xsd:schema xmlns:xsd="http://www.w3.org/2001/XMLSchema" xmlns:xs="http://www.w3.org/2001/XMLSchema" xmlns:p="http://schemas.microsoft.com/office/2006/metadata/properties" xmlns:ns2="f08a0890-c249-4c8c-9cd9-4c8a994c0a28" xmlns:ns3="5267a219-b8fc-4d25-9a3f-6884bb959e75" targetNamespace="http://schemas.microsoft.com/office/2006/metadata/properties" ma:root="true" ma:fieldsID="837c76f3fd297fd18454b028a7a964ee" ns2:_="" ns3:_="">
    <xsd:import namespace="f08a0890-c249-4c8c-9cd9-4c8a994c0a28"/>
    <xsd:import namespace="5267a219-b8fc-4d25-9a3f-6884bb959e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date_x002f_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a0890-c249-4c8c-9cd9-4c8a994c0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ate_x002f_time" ma:index="23" nillable="true" ma:displayName="date/time" ma:format="DateOnly" ma:internalName="date_x002f_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7a219-b8fc-4d25-9a3f-6884bb959e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ddc6744-2381-4e2a-85aa-13b43e91470b}" ma:internalName="TaxCatchAll" ma:showField="CatchAllData" ma:web="5267a219-b8fc-4d25-9a3f-6884bb959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1D0E4-03F4-4455-B584-C699F9390B76}">
  <ds:schemaRefs>
    <ds:schemaRef ds:uri="http://schemas.microsoft.com/office/2006/metadata/properties"/>
    <ds:schemaRef ds:uri="http://schemas.microsoft.com/office/infopath/2007/PartnerControls"/>
    <ds:schemaRef ds:uri="f08a0890-c249-4c8c-9cd9-4c8a994c0a28"/>
    <ds:schemaRef ds:uri="5267a219-b8fc-4d25-9a3f-6884bb959e75"/>
  </ds:schemaRefs>
</ds:datastoreItem>
</file>

<file path=customXml/itemProps2.xml><?xml version="1.0" encoding="utf-8"?>
<ds:datastoreItem xmlns:ds="http://schemas.openxmlformats.org/officeDocument/2006/customXml" ds:itemID="{11B64427-AD0F-4D92-8083-BD842E24A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a0890-c249-4c8c-9cd9-4c8a994c0a28"/>
    <ds:schemaRef ds:uri="5267a219-b8fc-4d25-9a3f-6884bb959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78C5E-42BD-4E7B-B3CB-02699B7424AA}">
  <ds:schemaRefs>
    <ds:schemaRef ds:uri="http://schemas.openxmlformats.org/officeDocument/2006/bibliography"/>
  </ds:schemaRefs>
</ds:datastoreItem>
</file>

<file path=customXml/itemProps4.xml><?xml version="1.0" encoding="utf-8"?>
<ds:datastoreItem xmlns:ds="http://schemas.openxmlformats.org/officeDocument/2006/customXml" ds:itemID="{1210A73A-12AE-40FB-9643-5C7791D7D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Guide Creation</Template>
  <TotalTime>201</TotalTime>
  <Pages>2</Pages>
  <Words>184</Words>
  <Characters>952</Characters>
  <Application>Microsoft Office Word</Application>
  <DocSecurity>0</DocSecurity>
  <Lines>47</Lines>
  <Paragraphs>40</Paragraphs>
  <ScaleCrop>false</ScaleCrop>
  <HeadingPairs>
    <vt:vector size="2" baseType="variant">
      <vt:variant>
        <vt:lpstr>Title</vt:lpstr>
      </vt:variant>
      <vt:variant>
        <vt:i4>1</vt:i4>
      </vt:variant>
    </vt:vector>
  </HeadingPairs>
  <TitlesOfParts>
    <vt:vector size="1" baseType="lpstr">
      <vt:lpstr>Title Here</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dc:title>
  <dc:subject>Subtitle Here</dc:subject>
  <dc:creator>Jones, Jeffrey</dc:creator>
  <cp:keywords/>
  <dc:description/>
  <cp:lastModifiedBy>Jones, Jeffrey C</cp:lastModifiedBy>
  <cp:revision>1</cp:revision>
  <dcterms:created xsi:type="dcterms:W3CDTF">2026-01-28T14:39:00Z</dcterms:created>
  <dcterms:modified xsi:type="dcterms:W3CDTF">2026-01-28T18:28:00Z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0x0101003957A81189B3FB4E83E1F8DACB14D5FB</vt:lpwstr>
  </property>
  <property fmtid="{D5CDD505-2E9C-101B-9397-08002B2CF9AE}" pid="3" name="MediaServiceImageTags">
    <vt:lpwstr/>
  </property>
  <property fmtid="{D5CDD505-2E9C-101B-9397-08002B2CF9AE}" pid="4" name="GrammarlyDocumentId">
    <vt:lpwstr>326b7927-65df-4b63-8270-24f83cf8d617</vt:lpwstr>
  </property>
</Properties>
</file>